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223DF">
      <w:pPr>
        <w:pStyle w:val="3"/>
        <w:snapToGrid w:val="0"/>
        <w:spacing w:before="120" w:after="120" w:line="0" w:lineRule="atLeast"/>
        <w:jc w:val="center"/>
        <w:outlineLvl w:val="0"/>
        <w:rPr>
          <w:rFonts w:hint="eastAsia" w:ascii="宋体" w:hAnsi="宋体" w:eastAsia="宋体" w:cs="宋体"/>
          <w:caps w:val="0"/>
          <w:color w:val="auto"/>
          <w:sz w:val="24"/>
          <w:szCs w:val="24"/>
        </w:rPr>
      </w:pPr>
      <w:bookmarkStart w:id="0" w:name="_Toc30349"/>
      <w:r>
        <w:rPr>
          <w:rFonts w:hint="eastAsia" w:ascii="宋体" w:hAnsi="宋体" w:eastAsia="宋体" w:cs="宋体"/>
          <w:bCs/>
          <w:caps w:val="0"/>
          <w:color w:val="auto"/>
          <w:sz w:val="44"/>
        </w:rPr>
        <w:t>第四章 采购需求</w:t>
      </w:r>
      <w:bookmarkEnd w:id="0"/>
    </w:p>
    <w:p w14:paraId="6FF6BADB">
      <w:pPr>
        <w:snapToGrid w:val="0"/>
        <w:spacing w:before="120" w:after="120" w:line="360" w:lineRule="auto"/>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项目属性：货物类项目</w:t>
      </w:r>
    </w:p>
    <w:p w14:paraId="7DB85B7B">
      <w:pPr>
        <w:snapToGrid w:val="0"/>
        <w:spacing w:before="120" w:after="120" w:line="360" w:lineRule="auto"/>
        <w:rPr>
          <w:rFonts w:hint="eastAsia" w:ascii="宋体" w:hAnsi="宋体" w:eastAsia="宋体" w:cs="宋体"/>
          <w:color w:val="auto"/>
          <w:sz w:val="24"/>
          <w:szCs w:val="24"/>
          <w:highlight w:val="yellow"/>
          <w:u w:val="single"/>
          <w:lang w:val="en-US" w:eastAsia="zh-CN"/>
        </w:rPr>
      </w:pPr>
      <w:r>
        <w:rPr>
          <w:rFonts w:hint="eastAsia" w:ascii="宋体" w:hAnsi="宋体" w:eastAsia="宋体" w:cs="宋体"/>
          <w:color w:val="auto"/>
          <w:sz w:val="24"/>
          <w:szCs w:val="24"/>
        </w:rPr>
        <w:t>本项目采购标的对应的中小企业划分标准所属行业：</w:t>
      </w:r>
      <w:r>
        <w:rPr>
          <w:rFonts w:hint="eastAsia" w:ascii="宋体" w:hAnsi="宋体" w:eastAsia="宋体" w:cs="宋体"/>
          <w:color w:val="auto"/>
          <w:sz w:val="24"/>
          <w:szCs w:val="24"/>
          <w:highlight w:val="none"/>
          <w:u w:val="single"/>
          <w:lang w:val="en-US" w:eastAsia="zh-CN"/>
        </w:rPr>
        <w:t>工业（制造业）</w:t>
      </w:r>
    </w:p>
    <w:p w14:paraId="71AA40D7">
      <w:pPr>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u w:val="single"/>
          <w:lang w:val="en-US" w:eastAsia="zh-CN"/>
        </w:rPr>
        <w:t>不接受</w:t>
      </w:r>
      <w:r>
        <w:rPr>
          <w:rFonts w:hint="eastAsia" w:ascii="宋体" w:hAnsi="宋体" w:eastAsia="宋体" w:cs="宋体"/>
          <w:color w:val="auto"/>
          <w:sz w:val="24"/>
          <w:szCs w:val="24"/>
          <w:highlight w:val="none"/>
          <w:lang w:val="en-US" w:eastAsia="zh-CN"/>
        </w:rPr>
        <w:t>进口产品。</w:t>
      </w:r>
    </w:p>
    <w:p w14:paraId="5D29882C">
      <w:pPr>
        <w:pStyle w:val="2"/>
        <w:numPr>
          <w:ilvl w:val="0"/>
          <w:numId w:val="1"/>
        </w:numPr>
        <w:spacing w:line="360" w:lineRule="auto"/>
        <w:jc w:val="both"/>
        <w:rPr>
          <w:rFonts w:hint="eastAsia" w:ascii="宋体" w:hAnsi="宋体" w:eastAsia="宋体" w:cs="宋体"/>
          <w:b/>
          <w:bCs w:val="0"/>
          <w:caps w:val="0"/>
          <w:color w:val="auto"/>
          <w:sz w:val="28"/>
          <w:szCs w:val="28"/>
          <w:lang w:val="en-US" w:eastAsia="zh-CN"/>
        </w:rPr>
      </w:pPr>
      <w:bookmarkStart w:id="1" w:name="_Toc20368"/>
      <w:r>
        <w:rPr>
          <w:rFonts w:hint="eastAsia" w:ascii="宋体" w:hAnsi="宋体" w:eastAsia="宋体" w:cs="宋体"/>
          <w:b/>
          <w:bCs w:val="0"/>
          <w:caps w:val="0"/>
          <w:color w:val="auto"/>
          <w:sz w:val="28"/>
          <w:szCs w:val="28"/>
          <w:lang w:val="en-US" w:eastAsia="zh-CN"/>
        </w:rPr>
        <w:t>基本情况：</w:t>
      </w:r>
      <w:bookmarkEnd w:id="1"/>
    </w:p>
    <w:p w14:paraId="3612EC97">
      <w:pPr>
        <w:pStyle w:val="7"/>
        <w:keepNext w:val="0"/>
        <w:keepLines w:val="0"/>
        <w:pageBreakBefore w:val="0"/>
        <w:widowControl w:val="0"/>
        <w:spacing w:line="360" w:lineRule="auto"/>
        <w:ind w:firstLine="480"/>
        <w:jc w:val="left"/>
        <w:rPr>
          <w:rStyle w:val="9"/>
          <w:rFonts w:hint="eastAsia" w:ascii="宋体" w:hAnsi="宋体" w:eastAsia="宋体" w:cs="宋体"/>
          <w:color w:val="auto"/>
          <w:sz w:val="24"/>
          <w:highlight w:val="none"/>
          <w:lang w:val="en-US" w:eastAsia="zh-CN" w:bidi="ar-SA"/>
        </w:rPr>
      </w:pPr>
      <w:r>
        <w:rPr>
          <w:rStyle w:val="9"/>
          <w:rFonts w:hint="eastAsia" w:ascii="宋体" w:hAnsi="宋体" w:eastAsia="宋体" w:cs="宋体"/>
          <w:color w:val="auto"/>
          <w:sz w:val="24"/>
          <w:highlight w:val="none"/>
          <w:lang w:val="en-US" w:eastAsia="zh-CN" w:bidi="ar-SA"/>
        </w:rPr>
        <w:t>1、项目名称：</w:t>
      </w:r>
      <w:r>
        <w:rPr>
          <w:rFonts w:hint="eastAsia" w:ascii="宋体" w:hAnsi="宋体" w:cs="宋体"/>
          <w:sz w:val="24"/>
          <w:lang w:val="en-US" w:eastAsia="zh-CN"/>
        </w:rPr>
        <w:t>城市生命线二期（经开区2025年度2座桥梁硬件设备采购及安装项目）</w:t>
      </w:r>
    </w:p>
    <w:p w14:paraId="244D8A21">
      <w:pPr>
        <w:pStyle w:val="7"/>
        <w:keepNext w:val="0"/>
        <w:keepLines w:val="0"/>
        <w:pageBreakBefore w:val="0"/>
        <w:widowControl w:val="0"/>
        <w:spacing w:line="360" w:lineRule="auto"/>
        <w:ind w:firstLine="480"/>
        <w:jc w:val="left"/>
        <w:rPr>
          <w:rStyle w:val="9"/>
          <w:rFonts w:hint="eastAsia" w:ascii="宋体" w:hAnsi="宋体" w:eastAsia="宋体" w:cs="宋体"/>
          <w:color w:val="auto"/>
          <w:sz w:val="24"/>
          <w:highlight w:val="none"/>
          <w:lang w:val="en-US" w:eastAsia="zh-CN" w:bidi="ar-SA"/>
        </w:rPr>
      </w:pPr>
      <w:r>
        <w:rPr>
          <w:rStyle w:val="9"/>
          <w:rFonts w:hint="eastAsia" w:ascii="宋体" w:hAnsi="宋体" w:eastAsia="宋体" w:cs="宋体"/>
          <w:color w:val="auto"/>
          <w:sz w:val="24"/>
          <w:highlight w:val="none"/>
          <w:lang w:val="en-US" w:eastAsia="zh-CN" w:bidi="ar-SA"/>
        </w:rPr>
        <w:t>2、项目最高限价：</w:t>
      </w:r>
      <w:r>
        <w:rPr>
          <w:rStyle w:val="9"/>
          <w:rFonts w:hint="eastAsia" w:ascii="宋体" w:hAnsi="宋体" w:cs="宋体"/>
          <w:color w:val="auto"/>
          <w:sz w:val="24"/>
          <w:highlight w:val="none"/>
          <w:lang w:val="en-US" w:eastAsia="zh-CN" w:bidi="ar-SA"/>
        </w:rPr>
        <w:t>76万元</w:t>
      </w:r>
    </w:p>
    <w:p w14:paraId="6705ED3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3、合同工期：30日历天完成货物、设备的采购、进场安装及调试等相关的全部工作。 </w:t>
      </w:r>
    </w:p>
    <w:p w14:paraId="1AC75BB5">
      <w:pPr>
        <w:pStyle w:val="10"/>
        <w:keepNext w:val="0"/>
        <w:keepLines w:val="0"/>
        <w:pageBreakBefore w:val="0"/>
        <w:widowControl w:val="0"/>
        <w:spacing w:line="360" w:lineRule="auto"/>
        <w:ind w:right="-73" w:firstLine="48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4、售后服务期：2年（自验收合格之日起计）。</w:t>
      </w:r>
    </w:p>
    <w:p w14:paraId="23A98904">
      <w:pPr>
        <w:pStyle w:val="10"/>
        <w:keepNext w:val="0"/>
        <w:keepLines w:val="0"/>
        <w:pageBreakBefore w:val="0"/>
        <w:widowControl w:val="0"/>
        <w:spacing w:line="360" w:lineRule="auto"/>
        <w:ind w:right="-73" w:firstLine="48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5、付款方式：</w:t>
      </w:r>
    </w:p>
    <w:p w14:paraId="484C055F">
      <w:pPr>
        <w:pStyle w:val="11"/>
        <w:pageBreakBefore w:val="0"/>
        <w:spacing w:before="0" w:after="0" w:line="360" w:lineRule="auto"/>
        <w:ind w:left="0" w:firstLine="48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 xml:space="preserve">预付款：合同签订后，在收到供应商发票后15日内支付合同总额30%的预付款； </w:t>
      </w:r>
    </w:p>
    <w:p w14:paraId="2625D086">
      <w:pPr>
        <w:pageBreakBefore w:val="0"/>
        <w:spacing w:line="360" w:lineRule="auto"/>
        <w:ind w:left="0" w:firstLine="482"/>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进度款：</w:t>
      </w:r>
      <w:r>
        <w:rPr>
          <w:rFonts w:hint="eastAsia" w:ascii="宋体" w:hAnsi="宋体" w:eastAsia="宋体" w:cs="宋体"/>
          <w:b w:val="0"/>
          <w:bCs/>
          <w:caps w:val="0"/>
          <w:color w:val="auto"/>
          <w:sz w:val="24"/>
          <w:highlight w:val="none"/>
          <w:u w:val="none"/>
          <w:lang w:val="en-US" w:eastAsia="zh-CN"/>
        </w:rPr>
        <w:t>初验完成且收到供应商发票后15日内支付至合同总额90%，售后服务期结束后，供应商提供项目完整技术文档，采购人3个工作日内组织终验并出具终验报告，在收到供应商发票后15日内，支付至合同总额100%</w:t>
      </w:r>
      <w:r>
        <w:rPr>
          <w:rFonts w:hint="eastAsia" w:ascii="宋体" w:hAnsi="宋体" w:eastAsia="宋体" w:cs="宋体"/>
          <w:kern w:val="0"/>
          <w:sz w:val="24"/>
          <w:szCs w:val="24"/>
          <w:highlight w:val="none"/>
          <w:lang w:val="en-US" w:eastAsia="zh-CN"/>
        </w:rPr>
        <w:t>。</w:t>
      </w:r>
    </w:p>
    <w:p w14:paraId="0D7F40D1">
      <w:pPr>
        <w:pStyle w:val="7"/>
        <w:keepNext w:val="0"/>
        <w:keepLines w:val="0"/>
        <w:pageBreakBefore w:val="0"/>
        <w:widowControl w:val="0"/>
        <w:numPr>
          <w:ilvl w:val="0"/>
          <w:numId w:val="0"/>
        </w:numPr>
        <w:spacing w:line="360" w:lineRule="auto"/>
        <w:ind w:firstLine="480"/>
        <w:jc w:val="left"/>
        <w:rPr>
          <w:rStyle w:val="9"/>
          <w:rFonts w:hint="eastAsia" w:ascii="宋体" w:hAnsi="宋体" w:eastAsia="宋体" w:cs="宋体"/>
          <w:color w:val="auto"/>
          <w:sz w:val="24"/>
          <w:highlight w:val="yellow"/>
          <w:lang w:val="en-US" w:eastAsia="zh-CN" w:bidi="ar-SA"/>
        </w:rPr>
      </w:pPr>
      <w:r>
        <w:rPr>
          <w:rStyle w:val="9"/>
          <w:rFonts w:hint="eastAsia" w:ascii="宋体" w:hAnsi="宋体" w:eastAsia="宋体" w:cs="宋体"/>
          <w:color w:val="auto"/>
          <w:sz w:val="24"/>
          <w:highlight w:val="none"/>
          <w:lang w:val="en-US" w:eastAsia="zh-CN" w:bidi="ar-SA"/>
        </w:rPr>
        <w:t>注：1、在签订合同时，中标人明确表示无需预付款或者主动要求降低预付款比例的金额，采购人可不适用预付款规定；2、对于满足合同约定支付条件的，自收到发票后</w:t>
      </w:r>
      <w:r>
        <w:rPr>
          <w:rFonts w:hint="eastAsia" w:ascii="宋体" w:hAnsi="宋体" w:eastAsia="宋体" w:cs="宋体"/>
          <w:b w:val="0"/>
          <w:bCs w:val="0"/>
          <w:kern w:val="0"/>
          <w:sz w:val="24"/>
          <w:szCs w:val="24"/>
          <w:highlight w:val="none"/>
          <w:lang w:val="en-US" w:eastAsia="zh-CN"/>
        </w:rPr>
        <w:t>15日内</w:t>
      </w:r>
      <w:r>
        <w:rPr>
          <w:rStyle w:val="9"/>
          <w:rFonts w:hint="eastAsia" w:ascii="宋体" w:hAnsi="宋体" w:eastAsia="宋体" w:cs="宋体"/>
          <w:color w:val="auto"/>
          <w:sz w:val="24"/>
          <w:highlight w:val="none"/>
          <w:lang w:val="en-US" w:eastAsia="zh-CN" w:bidi="ar-SA"/>
        </w:rPr>
        <w:t>将资金支付到合同约定的中标人账户或中标人数字人民币账户。</w:t>
      </w:r>
    </w:p>
    <w:p w14:paraId="1158BB54">
      <w:pPr>
        <w:pStyle w:val="7"/>
        <w:keepNext w:val="0"/>
        <w:keepLines w:val="0"/>
        <w:pageBreakBefore w:val="0"/>
        <w:widowControl w:val="0"/>
        <w:numPr>
          <w:ilvl w:val="0"/>
          <w:numId w:val="0"/>
        </w:numPr>
        <w:spacing w:line="360" w:lineRule="auto"/>
        <w:ind w:left="420" w:firstLine="240"/>
        <w:jc w:val="left"/>
        <w:rPr>
          <w:rStyle w:val="9"/>
          <w:rFonts w:hint="eastAsia" w:ascii="宋体" w:hAnsi="宋体" w:eastAsia="宋体" w:cs="宋体"/>
          <w:color w:val="auto"/>
          <w:sz w:val="24"/>
          <w:highlight w:val="none"/>
          <w:lang w:val="en-US" w:eastAsia="zh-CN" w:bidi="ar-SA"/>
        </w:rPr>
      </w:pPr>
      <w:r>
        <w:rPr>
          <w:rStyle w:val="9"/>
          <w:rFonts w:hint="eastAsia" w:ascii="宋体" w:hAnsi="宋体" w:eastAsia="宋体" w:cs="宋体"/>
          <w:color w:val="auto"/>
          <w:sz w:val="24"/>
          <w:highlight w:val="none"/>
          <w:lang w:val="en-US" w:eastAsia="zh-CN" w:bidi="ar-SA"/>
        </w:rPr>
        <w:t>6、质量标准：</w:t>
      </w:r>
    </w:p>
    <w:p w14:paraId="56BFC492">
      <w:pPr>
        <w:pStyle w:val="7"/>
        <w:keepNext w:val="0"/>
        <w:keepLines w:val="0"/>
        <w:pageBreakBefore w:val="0"/>
        <w:widowControl w:val="0"/>
        <w:numPr>
          <w:ilvl w:val="0"/>
          <w:numId w:val="0"/>
        </w:numPr>
        <w:spacing w:line="360" w:lineRule="auto"/>
        <w:ind w:firstLine="480"/>
        <w:jc w:val="left"/>
        <w:rPr>
          <w:rStyle w:val="9"/>
          <w:rFonts w:hint="eastAsia" w:ascii="宋体" w:hAnsi="宋体" w:eastAsia="宋体" w:cs="宋体"/>
          <w:color w:val="auto"/>
          <w:sz w:val="24"/>
          <w:highlight w:val="none"/>
          <w:lang w:val="en-US" w:eastAsia="zh-CN" w:bidi="ar-SA"/>
        </w:rPr>
      </w:pPr>
      <w:r>
        <w:rPr>
          <w:rStyle w:val="9"/>
          <w:rFonts w:hint="eastAsia" w:ascii="宋体" w:hAnsi="宋体" w:eastAsia="宋体" w:cs="宋体"/>
          <w:color w:val="auto"/>
          <w:sz w:val="24"/>
          <w:highlight w:val="none"/>
          <w:lang w:val="en-US" w:eastAsia="zh-CN" w:bidi="ar-SA"/>
        </w:rPr>
        <w:t>（1）合格，符合国家、行业质量要求。</w:t>
      </w:r>
    </w:p>
    <w:p w14:paraId="3A0C12CA">
      <w:pPr>
        <w:pStyle w:val="7"/>
        <w:keepNext w:val="0"/>
        <w:keepLines w:val="0"/>
        <w:pageBreakBefore w:val="0"/>
        <w:widowControl w:val="0"/>
        <w:numPr>
          <w:ilvl w:val="0"/>
          <w:numId w:val="0"/>
        </w:numPr>
        <w:spacing w:line="360" w:lineRule="auto"/>
        <w:ind w:firstLine="480"/>
        <w:jc w:val="left"/>
        <w:rPr>
          <w:rStyle w:val="9"/>
          <w:rFonts w:hint="eastAsia" w:ascii="宋体" w:hAnsi="宋体" w:eastAsia="宋体" w:cs="宋体"/>
          <w:color w:val="auto"/>
          <w:sz w:val="24"/>
          <w:highlight w:val="none"/>
          <w:lang w:val="en-US" w:eastAsia="zh-CN" w:bidi="ar-SA"/>
        </w:rPr>
      </w:pPr>
      <w:r>
        <w:rPr>
          <w:rStyle w:val="9"/>
          <w:rFonts w:hint="eastAsia" w:ascii="宋体" w:hAnsi="宋体" w:eastAsia="宋体" w:cs="宋体"/>
          <w:color w:val="auto"/>
          <w:sz w:val="24"/>
          <w:highlight w:val="none"/>
          <w:lang w:val="en-US" w:eastAsia="zh-CN" w:bidi="ar-SA"/>
        </w:rPr>
        <w:t>（2）货物必须全新、未使用过的原装合格正品，完全符合招标文件规定的质量，规格和性能的要求达到国家或行业规定的标准，实行生产许可证制度的，应提供生产许可证，属于国家强制认证的货物必须通过认证。</w:t>
      </w:r>
    </w:p>
    <w:p w14:paraId="78014A06">
      <w:pPr>
        <w:pStyle w:val="7"/>
        <w:keepNext w:val="0"/>
        <w:keepLines w:val="0"/>
        <w:pageBreakBefore w:val="0"/>
        <w:widowControl w:val="0"/>
        <w:numPr>
          <w:ilvl w:val="0"/>
          <w:numId w:val="0"/>
        </w:numPr>
        <w:spacing w:line="360" w:lineRule="auto"/>
        <w:ind w:firstLine="480"/>
        <w:jc w:val="left"/>
        <w:rPr>
          <w:rFonts w:hint="eastAsia" w:ascii="宋体" w:hAnsi="宋体" w:eastAsia="宋体" w:cs="宋体"/>
          <w:color w:val="auto"/>
          <w:highlight w:val="none"/>
          <w:lang w:val="en-US" w:eastAsia="zh-CN"/>
        </w:rPr>
      </w:pPr>
      <w:r>
        <w:rPr>
          <w:rStyle w:val="9"/>
          <w:rFonts w:hint="eastAsia" w:ascii="宋体" w:hAnsi="宋体" w:eastAsia="宋体" w:cs="宋体"/>
          <w:color w:val="auto"/>
          <w:sz w:val="24"/>
          <w:highlight w:val="none"/>
          <w:lang w:val="en-US" w:eastAsia="zh-CN" w:bidi="ar-SA"/>
        </w:rPr>
        <w:t>（3）供应商必须提供符合国家质量检测标准的全新、未使用过的货物</w:t>
      </w:r>
      <w:r>
        <w:rPr>
          <w:rStyle w:val="9"/>
          <w:rFonts w:hint="eastAsia" w:ascii="宋体" w:hAnsi="宋体" w:cs="宋体"/>
          <w:color w:val="auto"/>
          <w:sz w:val="24"/>
          <w:highlight w:val="none"/>
          <w:lang w:val="en-US" w:eastAsia="zh-CN" w:bidi="ar-SA"/>
        </w:rPr>
        <w:t>（</w:t>
      </w:r>
      <w:r>
        <w:rPr>
          <w:rStyle w:val="9"/>
          <w:rFonts w:hint="eastAsia" w:ascii="宋体" w:hAnsi="宋体" w:eastAsia="宋体" w:cs="宋体"/>
          <w:color w:val="auto"/>
          <w:sz w:val="24"/>
          <w:highlight w:val="none"/>
          <w:lang w:val="en-US" w:eastAsia="zh-CN" w:bidi="ar-SA"/>
        </w:rPr>
        <w:t>包括所有零配件、专用工具等辅料、配件及在整体设备安装和调试时不能缺少或必需的一切附属配件必须为专业生产企业的定型品牌</w:t>
      </w:r>
      <w:r>
        <w:rPr>
          <w:rStyle w:val="9"/>
          <w:rFonts w:hint="eastAsia" w:ascii="宋体" w:hAnsi="宋体" w:cs="宋体"/>
          <w:color w:val="auto"/>
          <w:sz w:val="24"/>
          <w:highlight w:val="none"/>
          <w:lang w:val="en-US" w:eastAsia="zh-CN" w:bidi="ar-SA"/>
        </w:rPr>
        <w:t>）</w:t>
      </w:r>
      <w:r>
        <w:rPr>
          <w:rStyle w:val="9"/>
          <w:rFonts w:hint="eastAsia" w:ascii="宋体" w:hAnsi="宋体" w:eastAsia="宋体" w:cs="宋体"/>
          <w:color w:val="auto"/>
          <w:sz w:val="24"/>
          <w:highlight w:val="none"/>
          <w:lang w:val="en-US" w:eastAsia="zh-CN" w:bidi="ar-SA"/>
        </w:rPr>
        <w:t>，表面无划伤，无碰撞，无任何缺陷隐患，在中国境内可依常规安全合法使用，并附有原始厂商的装箱单、完整的技术资料及相应的中文说明等相关资料，供货时必须提供设备的供货配置清单。供应商货物若与标书上列明的货物型号、技术指标等不相符，有造假现象的，一经查出，将终止合同，并承担由此给采购人带来的损失。</w:t>
      </w:r>
    </w:p>
    <w:p w14:paraId="7299690D">
      <w:pPr>
        <w:pStyle w:val="7"/>
        <w:keepNext/>
        <w:keepLines/>
        <w:pageBreakBefore w:val="0"/>
        <w:widowControl w:val="0"/>
        <w:numPr>
          <w:ilvl w:val="0"/>
          <w:numId w:val="0"/>
        </w:numPr>
        <w:kinsoku/>
        <w:wordWrap w:val="0"/>
        <w:overflowPunct/>
        <w:topLinePunct w:val="0"/>
        <w:autoSpaceDE/>
        <w:autoSpaceDN/>
        <w:bidi w:val="0"/>
        <w:adjustRightInd/>
        <w:snapToGrid/>
        <w:spacing w:line="360" w:lineRule="auto"/>
        <w:jc w:val="left"/>
        <w:textAlignment w:val="auto"/>
        <w:rPr>
          <w:rStyle w:val="9"/>
          <w:rFonts w:hint="eastAsia" w:ascii="宋体" w:hAnsi="宋体" w:eastAsia="宋体" w:cs="宋体"/>
          <w:b/>
          <w:bCs/>
          <w:color w:val="auto"/>
          <w:sz w:val="28"/>
          <w:szCs w:val="28"/>
          <w:highlight w:val="none"/>
          <w:lang w:val="en-US" w:eastAsia="zh-CN" w:bidi="ar-SA"/>
        </w:rPr>
      </w:pPr>
      <w:r>
        <w:rPr>
          <w:rStyle w:val="9"/>
          <w:rFonts w:hint="eastAsia" w:ascii="宋体" w:hAnsi="宋体" w:eastAsia="宋体" w:cs="宋体"/>
          <w:b/>
          <w:bCs/>
          <w:color w:val="auto"/>
          <w:sz w:val="28"/>
          <w:szCs w:val="28"/>
          <w:highlight w:val="none"/>
          <w:lang w:val="en-US" w:eastAsia="zh-CN" w:bidi="ar-SA"/>
        </w:rPr>
        <w:t>二、采购清单及技术参数</w:t>
      </w:r>
    </w:p>
    <w:tbl>
      <w:tblPr>
        <w:tblStyle w:val="5"/>
        <w:tblW w:w="5207" w:type="pct"/>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794"/>
        <w:gridCol w:w="5102"/>
        <w:gridCol w:w="620"/>
        <w:gridCol w:w="625"/>
      </w:tblGrid>
      <w:tr w14:paraId="6702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 w:type="pct"/>
            <w:noWrap w:val="0"/>
            <w:vAlign w:val="center"/>
          </w:tcPr>
          <w:p w14:paraId="3A405610">
            <w:pPr>
              <w:pStyle w:val="2"/>
              <w:keepNext/>
              <w:keepLines/>
              <w:pageBreakBefore w:val="0"/>
              <w:widowControl w:val="0"/>
              <w:numPr>
                <w:ilvl w:val="0"/>
                <w:numId w:val="0"/>
              </w:numPr>
              <w:kinsoku/>
              <w:wordWrap w:val="0"/>
              <w:overflowPunct/>
              <w:topLinePunct w:val="0"/>
              <w:autoSpaceDE/>
              <w:autoSpaceDN/>
              <w:bidi w:val="0"/>
              <w:adjustRightInd/>
              <w:snapToGrid/>
              <w:jc w:val="center"/>
              <w:textAlignment w:val="auto"/>
              <w:rPr>
                <w:rFonts w:hint="default" w:ascii="Times New Roman" w:hAnsi="Times New Roman" w:eastAsia="宋体" w:cs="Times New Roman"/>
                <w:b/>
                <w:bCs w:val="0"/>
                <w:caps w:val="0"/>
                <w:color w:val="auto"/>
                <w:sz w:val="24"/>
                <w:szCs w:val="24"/>
                <w:highlight w:val="none"/>
                <w:vertAlign w:val="baseline"/>
                <w:lang w:val="en-US" w:eastAsia="zh-CN"/>
              </w:rPr>
            </w:pPr>
            <w:bookmarkStart w:id="2" w:name="_Toc554"/>
            <w:r>
              <w:rPr>
                <w:rFonts w:hint="default" w:ascii="Times New Roman" w:hAnsi="Times New Roman" w:eastAsia="宋体" w:cs="Times New Roman"/>
                <w:b/>
                <w:bCs w:val="0"/>
                <w:caps w:val="0"/>
                <w:color w:val="auto"/>
                <w:sz w:val="24"/>
                <w:szCs w:val="24"/>
                <w:highlight w:val="none"/>
                <w:vertAlign w:val="baseline"/>
                <w:lang w:val="en-US" w:eastAsia="zh-CN"/>
              </w:rPr>
              <w:t>序号</w:t>
            </w:r>
          </w:p>
        </w:tc>
        <w:tc>
          <w:tcPr>
            <w:tcW w:w="1010" w:type="pct"/>
            <w:noWrap w:val="0"/>
            <w:vAlign w:val="center"/>
          </w:tcPr>
          <w:p w14:paraId="7A616965">
            <w:pPr>
              <w:pStyle w:val="2"/>
              <w:keepNext/>
              <w:keepLines/>
              <w:pageBreakBefore w:val="0"/>
              <w:widowControl w:val="0"/>
              <w:numPr>
                <w:ilvl w:val="0"/>
                <w:numId w:val="0"/>
              </w:numPr>
              <w:kinsoku/>
              <w:wordWrap w:val="0"/>
              <w:overflowPunct/>
              <w:topLinePunct w:val="0"/>
              <w:autoSpaceDE/>
              <w:autoSpaceDN/>
              <w:bidi w:val="0"/>
              <w:adjustRightInd/>
              <w:snapToGrid/>
              <w:jc w:val="center"/>
              <w:textAlignment w:val="auto"/>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b/>
                <w:bCs w:val="0"/>
                <w:caps w:val="0"/>
                <w:color w:val="auto"/>
                <w:sz w:val="24"/>
                <w:szCs w:val="24"/>
                <w:highlight w:val="none"/>
                <w:vertAlign w:val="baseline"/>
                <w:lang w:val="en-US" w:eastAsia="zh-CN"/>
              </w:rPr>
              <w:t>设备名称</w:t>
            </w:r>
            <w:bookmarkEnd w:id="2"/>
          </w:p>
        </w:tc>
        <w:tc>
          <w:tcPr>
            <w:tcW w:w="2873" w:type="pct"/>
            <w:noWrap w:val="0"/>
            <w:vAlign w:val="center"/>
          </w:tcPr>
          <w:p w14:paraId="7C769936">
            <w:pPr>
              <w:pStyle w:val="2"/>
              <w:keepNext/>
              <w:keepLines/>
              <w:pageBreakBefore w:val="0"/>
              <w:widowControl w:val="0"/>
              <w:numPr>
                <w:ilvl w:val="0"/>
                <w:numId w:val="0"/>
              </w:numPr>
              <w:kinsoku/>
              <w:wordWrap w:val="0"/>
              <w:overflowPunct/>
              <w:topLinePunct w:val="0"/>
              <w:autoSpaceDE/>
              <w:autoSpaceDN/>
              <w:bidi w:val="0"/>
              <w:adjustRightInd/>
              <w:snapToGrid/>
              <w:jc w:val="center"/>
              <w:textAlignment w:val="auto"/>
              <w:rPr>
                <w:rFonts w:hint="default" w:ascii="Times New Roman" w:hAnsi="Times New Roman" w:eastAsia="宋体" w:cs="Times New Roman"/>
                <w:b/>
                <w:bCs w:val="0"/>
                <w:caps w:val="0"/>
                <w:color w:val="auto"/>
                <w:sz w:val="24"/>
                <w:szCs w:val="24"/>
                <w:highlight w:val="none"/>
                <w:vertAlign w:val="baseline"/>
                <w:lang w:val="en-US" w:eastAsia="zh-CN"/>
              </w:rPr>
            </w:pPr>
            <w:bookmarkStart w:id="3" w:name="_Toc12668"/>
            <w:r>
              <w:rPr>
                <w:rFonts w:hint="default" w:ascii="Times New Roman" w:hAnsi="Times New Roman" w:eastAsia="宋体" w:cs="Times New Roman"/>
                <w:b/>
                <w:bCs w:val="0"/>
                <w:caps w:val="0"/>
                <w:color w:val="auto"/>
                <w:sz w:val="24"/>
                <w:szCs w:val="24"/>
                <w:highlight w:val="none"/>
                <w:vertAlign w:val="baseline"/>
                <w:lang w:val="en-US" w:eastAsia="zh-CN"/>
              </w:rPr>
              <w:t>技术参数</w:t>
            </w:r>
            <w:bookmarkEnd w:id="3"/>
          </w:p>
        </w:tc>
        <w:tc>
          <w:tcPr>
            <w:tcW w:w="349" w:type="pct"/>
            <w:noWrap w:val="0"/>
            <w:vAlign w:val="center"/>
          </w:tcPr>
          <w:p w14:paraId="6D56D0B6">
            <w:pPr>
              <w:pStyle w:val="2"/>
              <w:keepNext/>
              <w:keepLines/>
              <w:pageBreakBefore w:val="0"/>
              <w:widowControl w:val="0"/>
              <w:numPr>
                <w:ilvl w:val="0"/>
                <w:numId w:val="0"/>
              </w:numPr>
              <w:kinsoku/>
              <w:wordWrap w:val="0"/>
              <w:overflowPunct/>
              <w:topLinePunct w:val="0"/>
              <w:autoSpaceDE/>
              <w:autoSpaceDN/>
              <w:bidi w:val="0"/>
              <w:adjustRightInd/>
              <w:snapToGrid/>
              <w:jc w:val="center"/>
              <w:textAlignment w:val="auto"/>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b/>
                <w:bCs w:val="0"/>
                <w:caps w:val="0"/>
                <w:color w:val="auto"/>
                <w:sz w:val="24"/>
                <w:szCs w:val="24"/>
                <w:highlight w:val="none"/>
                <w:vertAlign w:val="baseline"/>
                <w:lang w:val="en-US" w:eastAsia="zh-CN"/>
              </w:rPr>
              <w:t>单位</w:t>
            </w:r>
          </w:p>
        </w:tc>
        <w:tc>
          <w:tcPr>
            <w:tcW w:w="352" w:type="pct"/>
            <w:noWrap w:val="0"/>
            <w:vAlign w:val="center"/>
          </w:tcPr>
          <w:p w14:paraId="614B7096">
            <w:pPr>
              <w:pStyle w:val="2"/>
              <w:keepNext/>
              <w:keepLines/>
              <w:pageBreakBefore w:val="0"/>
              <w:widowControl w:val="0"/>
              <w:numPr>
                <w:ilvl w:val="0"/>
                <w:numId w:val="0"/>
              </w:numPr>
              <w:kinsoku/>
              <w:wordWrap w:val="0"/>
              <w:overflowPunct/>
              <w:topLinePunct w:val="0"/>
              <w:autoSpaceDE/>
              <w:autoSpaceDN/>
              <w:bidi w:val="0"/>
              <w:adjustRightInd/>
              <w:snapToGrid/>
              <w:jc w:val="center"/>
              <w:textAlignment w:val="auto"/>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b/>
                <w:bCs w:val="0"/>
                <w:caps w:val="0"/>
                <w:color w:val="auto"/>
                <w:sz w:val="24"/>
                <w:szCs w:val="24"/>
                <w:highlight w:val="none"/>
                <w:vertAlign w:val="baseline"/>
                <w:lang w:val="en-US" w:eastAsia="zh-CN"/>
              </w:rPr>
              <w:t>数量</w:t>
            </w:r>
          </w:p>
        </w:tc>
      </w:tr>
      <w:tr w14:paraId="17C0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090F4D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10" w:type="pct"/>
            <w:noWrap w:val="0"/>
            <w:vAlign w:val="center"/>
          </w:tcPr>
          <w:p w14:paraId="7F34AA0A">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动态应变计</w:t>
            </w:r>
          </w:p>
        </w:tc>
        <w:tc>
          <w:tcPr>
            <w:tcW w:w="2873" w:type="pct"/>
            <w:noWrap w:val="0"/>
            <w:vAlign w:val="center"/>
          </w:tcPr>
          <w:p w14:paraId="18FAFD7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default" w:ascii="Times New Roman" w:hAnsi="Times New Roman" w:eastAsia="宋体" w:cs="Times New Roman"/>
                <w:i w:val="0"/>
                <w:iCs w:val="0"/>
                <w:color w:val="000000"/>
                <w:kern w:val="0"/>
                <w:sz w:val="24"/>
                <w:szCs w:val="24"/>
                <w:highlight w:val="none"/>
                <w:u w:val="none"/>
                <w:lang w:val="en-US" w:eastAsia="zh-CN" w:bidi="ar"/>
              </w:rPr>
              <w:t>.量程：±1500με。</w:t>
            </w:r>
          </w:p>
          <w:p w14:paraId="5A23B37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▲2.灵敏度：≤500με/mV·V-1。</w:t>
            </w:r>
          </w:p>
          <w:p w14:paraId="40DED5B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3.非线性误差：≤±2%.F.S。</w:t>
            </w:r>
          </w:p>
          <w:p w14:paraId="6A8AF29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4.应变传感器量程：≥2倍预测被测量变化范围。</w:t>
            </w:r>
          </w:p>
          <w:p w14:paraId="38388FC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5.桥路电阻：≤350Ω。</w:t>
            </w:r>
          </w:p>
          <w:p w14:paraId="24DC77FB">
            <w:pPr>
              <w:keepNext w:val="0"/>
              <w:keepLines w:val="0"/>
              <w:widowControl/>
              <w:suppressLineNumbers w:val="0"/>
              <w:jc w:val="left"/>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6.防护等级：IP67。</w:t>
            </w:r>
          </w:p>
        </w:tc>
        <w:tc>
          <w:tcPr>
            <w:tcW w:w="349" w:type="pct"/>
            <w:noWrap w:val="0"/>
            <w:vAlign w:val="center"/>
          </w:tcPr>
          <w:p w14:paraId="5633A2BA">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个</w:t>
            </w:r>
          </w:p>
        </w:tc>
        <w:tc>
          <w:tcPr>
            <w:tcW w:w="352" w:type="pct"/>
            <w:noWrap w:val="0"/>
            <w:vAlign w:val="center"/>
          </w:tcPr>
          <w:p w14:paraId="0743D942">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16</w:t>
            </w:r>
          </w:p>
        </w:tc>
      </w:tr>
      <w:tr w14:paraId="6561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3461D8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10" w:type="pct"/>
            <w:noWrap w:val="0"/>
            <w:vAlign w:val="center"/>
          </w:tcPr>
          <w:p w14:paraId="4EA19FDD">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不锈钢安装支架</w:t>
            </w:r>
          </w:p>
        </w:tc>
        <w:tc>
          <w:tcPr>
            <w:tcW w:w="2873" w:type="pct"/>
            <w:noWrap w:val="0"/>
            <w:vAlign w:val="center"/>
          </w:tcPr>
          <w:p w14:paraId="56E03048">
            <w:pPr>
              <w:keepNext w:val="0"/>
              <w:keepLines w:val="0"/>
              <w:widowControl/>
              <w:suppressLineNumbers w:val="0"/>
              <w:jc w:val="left"/>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bookmarkStart w:id="4" w:name="OLE_LINK10"/>
            <w:r>
              <w:rPr>
                <w:rFonts w:hint="default" w:ascii="Times New Roman" w:hAnsi="Times New Roman" w:eastAsia="宋体" w:cs="Times New Roman"/>
                <w:i w:val="0"/>
                <w:iCs w:val="0"/>
                <w:color w:val="000000"/>
                <w:kern w:val="0"/>
                <w:sz w:val="24"/>
                <w:szCs w:val="24"/>
                <w:highlight w:val="none"/>
                <w:u w:val="none"/>
                <w:lang w:val="en-US" w:eastAsia="zh-CN" w:bidi="ar"/>
              </w:rPr>
              <w:t>不锈钢支架厚度≥3mm，根据现场适配环境定制。</w:t>
            </w:r>
            <w:bookmarkEnd w:id="4"/>
          </w:p>
        </w:tc>
        <w:tc>
          <w:tcPr>
            <w:tcW w:w="349" w:type="pct"/>
            <w:noWrap w:val="0"/>
            <w:vAlign w:val="center"/>
          </w:tcPr>
          <w:p w14:paraId="3539A7A3">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个</w:t>
            </w:r>
          </w:p>
        </w:tc>
        <w:tc>
          <w:tcPr>
            <w:tcW w:w="352" w:type="pct"/>
            <w:noWrap w:val="0"/>
            <w:vAlign w:val="center"/>
          </w:tcPr>
          <w:p w14:paraId="56E4474C">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16</w:t>
            </w:r>
          </w:p>
        </w:tc>
      </w:tr>
      <w:tr w14:paraId="2BB3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7BE148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10" w:type="pct"/>
            <w:noWrap w:val="0"/>
            <w:vAlign w:val="center"/>
          </w:tcPr>
          <w:p w14:paraId="4DF206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p w14:paraId="5F012A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p w14:paraId="123051B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图像法动位移监测仪</w:t>
            </w:r>
          </w:p>
          <w:p w14:paraId="2722A3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2873" w:type="pct"/>
            <w:noWrap w:val="0"/>
            <w:vAlign w:val="center"/>
          </w:tcPr>
          <w:p w14:paraId="1B477AA2">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1.测量距离：0～150m。</w:t>
            </w:r>
          </w:p>
          <w:p w14:paraId="1069154A">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▲2.检测精度：≤0.2mm（50米测距）。</w:t>
            </w:r>
          </w:p>
          <w:p w14:paraId="4ABDE75C">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3.基准靶防抖动：支持。</w:t>
            </w:r>
          </w:p>
          <w:p w14:paraId="6FEB8D00">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4.防护等级：IP65。</w:t>
            </w:r>
          </w:p>
          <w:p w14:paraId="72BDB747">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5.供电方式：DC12～24V，支持POE供电。</w:t>
            </w:r>
          </w:p>
          <w:p w14:paraId="60FC06A5">
            <w:pPr>
              <w:keepNext w:val="0"/>
              <w:keepLines w:val="0"/>
              <w:widowControl/>
              <w:numPr>
                <w:ilvl w:val="0"/>
                <w:numId w:val="0"/>
              </w:numPr>
              <w:suppressLineNumbers w:val="0"/>
              <w:jc w:val="left"/>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6.工作温度：-20℃～+60℃。</w:t>
            </w:r>
          </w:p>
        </w:tc>
        <w:tc>
          <w:tcPr>
            <w:tcW w:w="349" w:type="pct"/>
            <w:noWrap w:val="0"/>
            <w:vAlign w:val="center"/>
          </w:tcPr>
          <w:p w14:paraId="535CDA11">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个</w:t>
            </w:r>
          </w:p>
        </w:tc>
        <w:tc>
          <w:tcPr>
            <w:tcW w:w="352" w:type="pct"/>
            <w:noWrap w:val="0"/>
            <w:vAlign w:val="center"/>
          </w:tcPr>
          <w:p w14:paraId="036947BB">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w:t>
            </w:r>
          </w:p>
        </w:tc>
      </w:tr>
      <w:tr w14:paraId="3DB9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49064C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10" w:type="pct"/>
            <w:noWrap w:val="0"/>
            <w:vAlign w:val="center"/>
          </w:tcPr>
          <w:p w14:paraId="3BD5FF48">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监测仪安装支架</w:t>
            </w:r>
          </w:p>
        </w:tc>
        <w:tc>
          <w:tcPr>
            <w:tcW w:w="2873" w:type="pct"/>
            <w:noWrap w:val="0"/>
            <w:vAlign w:val="center"/>
          </w:tcPr>
          <w:p w14:paraId="5B9D211D">
            <w:pPr>
              <w:keepNext w:val="0"/>
              <w:keepLines w:val="0"/>
              <w:widowControl/>
              <w:suppressLineNumbers w:val="0"/>
              <w:jc w:val="left"/>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不锈钢支架厚度≥3mm，根据现场适配环境定制。</w:t>
            </w:r>
          </w:p>
        </w:tc>
        <w:tc>
          <w:tcPr>
            <w:tcW w:w="349" w:type="pct"/>
            <w:noWrap w:val="0"/>
            <w:vAlign w:val="center"/>
          </w:tcPr>
          <w:p w14:paraId="5704555E">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套</w:t>
            </w:r>
          </w:p>
        </w:tc>
        <w:tc>
          <w:tcPr>
            <w:tcW w:w="352" w:type="pct"/>
            <w:noWrap w:val="0"/>
            <w:vAlign w:val="center"/>
          </w:tcPr>
          <w:p w14:paraId="203F100F">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w:t>
            </w:r>
          </w:p>
        </w:tc>
      </w:tr>
      <w:tr w14:paraId="6ADB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184111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10" w:type="pct"/>
            <w:noWrap w:val="0"/>
            <w:vAlign w:val="center"/>
          </w:tcPr>
          <w:p w14:paraId="796DCED6">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目标靶</w:t>
            </w:r>
          </w:p>
        </w:tc>
        <w:tc>
          <w:tcPr>
            <w:tcW w:w="2873" w:type="pct"/>
            <w:noWrap w:val="0"/>
            <w:vAlign w:val="center"/>
          </w:tcPr>
          <w:p w14:paraId="4366F9C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1.光源：LED 光源。</w:t>
            </w:r>
          </w:p>
          <w:p w14:paraId="0839644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2.波长：850纳米。</w:t>
            </w:r>
          </w:p>
          <w:p w14:paraId="6376E48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3.功耗：最大10W。</w:t>
            </w:r>
          </w:p>
          <w:p w14:paraId="3DDB24C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4.输入电压：DC12V～24V。</w:t>
            </w:r>
          </w:p>
          <w:p w14:paraId="550DC6B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5.工作环境温度：-40℃～+80℃。</w:t>
            </w:r>
          </w:p>
          <w:p w14:paraId="48445FD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6.防水等级：IP67。</w:t>
            </w:r>
          </w:p>
          <w:p w14:paraId="33A1527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7.含</w:t>
            </w:r>
            <w:r>
              <w:rPr>
                <w:rFonts w:hint="default" w:ascii="Times New Roman" w:hAnsi="Times New Roman" w:eastAsia="宋体" w:cs="Times New Roman"/>
                <w:i w:val="0"/>
                <w:iCs w:val="0"/>
                <w:color w:val="000000"/>
                <w:kern w:val="0"/>
                <w:sz w:val="24"/>
                <w:szCs w:val="24"/>
                <w:u w:val="none"/>
                <w:lang w:val="en-US" w:eastAsia="zh-CN" w:bidi="ar"/>
              </w:rPr>
              <w:t>标靶支架及防护罩</w:t>
            </w:r>
          </w:p>
        </w:tc>
        <w:tc>
          <w:tcPr>
            <w:tcW w:w="349" w:type="pct"/>
            <w:noWrap w:val="0"/>
            <w:vAlign w:val="center"/>
          </w:tcPr>
          <w:p w14:paraId="7C885911">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个</w:t>
            </w:r>
          </w:p>
        </w:tc>
        <w:tc>
          <w:tcPr>
            <w:tcW w:w="352" w:type="pct"/>
            <w:noWrap w:val="0"/>
            <w:vAlign w:val="center"/>
          </w:tcPr>
          <w:p w14:paraId="688B1F4F">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16</w:t>
            </w:r>
          </w:p>
        </w:tc>
      </w:tr>
      <w:tr w14:paraId="42C9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shd w:val="clear" w:color="auto" w:fill="auto"/>
            <w:noWrap w:val="0"/>
            <w:vAlign w:val="center"/>
          </w:tcPr>
          <w:p w14:paraId="5AA1AA1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10" w:type="pct"/>
            <w:shd w:val="clear" w:color="auto" w:fill="auto"/>
            <w:noWrap w:val="0"/>
            <w:vAlign w:val="center"/>
          </w:tcPr>
          <w:p w14:paraId="0A0E198E">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低照度高清摄像头</w:t>
            </w:r>
          </w:p>
        </w:tc>
        <w:tc>
          <w:tcPr>
            <w:tcW w:w="2873" w:type="pct"/>
            <w:shd w:val="clear" w:color="auto" w:fill="FFFFFF"/>
            <w:noWrap w:val="0"/>
            <w:vAlign w:val="center"/>
          </w:tcPr>
          <w:p w14:paraId="70F7FD90">
            <w:pPr>
              <w:keepNext w:val="0"/>
              <w:keepLines w:val="0"/>
              <w:widowControl/>
              <w:numPr>
                <w:ilvl w:val="0"/>
                <w:numId w:val="2"/>
              </w:numPr>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sz w:val="24"/>
                <w:szCs w:val="24"/>
                <w:highlight w:val="none"/>
                <w:u w:val="none"/>
              </w:rPr>
              <w:t>设备具有不少于3个镜头，内置1个800万像素CMOS传感器和2个400万像素CMOS传感器。上通道图像传感器靶面尺寸为1/1.2英寸、下通道2个图像传感器靶面尺寸均为1/1.8英寸，下通道水平视场角不小于180°，垂直视场角不小于48°</w:t>
            </w:r>
            <w:r>
              <w:rPr>
                <w:rFonts w:hint="default" w:ascii="Times New Roman" w:hAnsi="Times New Roman" w:eastAsia="宋体" w:cs="Times New Roman"/>
                <w:i w:val="0"/>
                <w:iCs w:val="0"/>
                <w:color w:val="000000"/>
                <w:sz w:val="24"/>
                <w:szCs w:val="24"/>
                <w:highlight w:val="none"/>
                <w:u w:val="none"/>
                <w:lang w:eastAsia="zh-CN"/>
              </w:rPr>
              <w:t>。</w:t>
            </w:r>
          </w:p>
          <w:p w14:paraId="07338F32">
            <w:pPr>
              <w:keepNext w:val="0"/>
              <w:keepLines w:val="0"/>
              <w:widowControl/>
              <w:numPr>
                <w:ilvl w:val="0"/>
                <w:numId w:val="2"/>
              </w:numPr>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sz w:val="24"/>
                <w:szCs w:val="24"/>
                <w:highlight w:val="none"/>
                <w:u w:val="none"/>
              </w:rPr>
              <w:t>支持幂影功能，可对不同速度、明亮度、反光度的机动车分类曝光，可实时检测、跟踪、抓拍行进的机动车车牌、机动车；可识别车牌号码，同时抓拍车牌号码图片应清晰可辨，无过曝、过暗情况</w:t>
            </w:r>
            <w:r>
              <w:rPr>
                <w:rFonts w:hint="default" w:ascii="Times New Roman" w:hAnsi="Times New Roman" w:eastAsia="宋体" w:cs="Times New Roman"/>
                <w:i w:val="0"/>
                <w:iCs w:val="0"/>
                <w:color w:val="000000"/>
                <w:sz w:val="24"/>
                <w:szCs w:val="24"/>
                <w:highlight w:val="none"/>
                <w:u w:val="none"/>
                <w:lang w:eastAsia="zh-CN"/>
              </w:rPr>
              <w:t>。</w:t>
            </w:r>
          </w:p>
          <w:p w14:paraId="0C9F7366">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sz w:val="24"/>
                <w:szCs w:val="24"/>
                <w:highlight w:val="none"/>
                <w:u w:val="none"/>
                <w:lang w:eastAsia="zh-CN"/>
              </w:rPr>
            </w:pPr>
            <w:r>
              <w:rPr>
                <w:rFonts w:hint="default" w:ascii="Times New Roman" w:hAnsi="Times New Roman" w:eastAsia="宋体" w:cs="Times New Roman"/>
                <w:i w:val="0"/>
                <w:iCs w:val="0"/>
                <w:color w:val="000000"/>
                <w:sz w:val="24"/>
                <w:szCs w:val="24"/>
                <w:highlight w:val="none"/>
                <w:u w:val="none"/>
              </w:rPr>
              <w:t>▲</w:t>
            </w:r>
            <w:r>
              <w:rPr>
                <w:rFonts w:hint="default" w:ascii="Times New Roman" w:hAnsi="Times New Roman" w:eastAsia="宋体" w:cs="Times New Roman"/>
                <w:i w:val="0"/>
                <w:iCs w:val="0"/>
                <w:color w:val="000000"/>
                <w:sz w:val="24"/>
                <w:szCs w:val="24"/>
                <w:highlight w:val="none"/>
                <w:u w:val="none"/>
                <w:lang w:val="en-US" w:eastAsia="zh-CN"/>
              </w:rPr>
              <w:t>3.</w:t>
            </w:r>
            <w:r>
              <w:rPr>
                <w:rFonts w:hint="default" w:ascii="Times New Roman" w:hAnsi="Times New Roman" w:eastAsia="宋体" w:cs="Times New Roman"/>
                <w:i w:val="0"/>
                <w:iCs w:val="0"/>
                <w:color w:val="000000"/>
                <w:sz w:val="24"/>
                <w:szCs w:val="24"/>
                <w:highlight w:val="none"/>
                <w:u w:val="none"/>
              </w:rPr>
              <w:t>细节摄像机镜头防护玻璃呈倾斜状，与镜头平面呈20°夹角，可改变沿镜头光轴方向入射光束的反射光方向，细节摄像机镜头前方出现机动车补光灯补光时，可降低鬼影对视频画面的影响（需提供具有CMA标识的检验报告证明）</w:t>
            </w:r>
            <w:r>
              <w:rPr>
                <w:rFonts w:hint="default" w:ascii="Times New Roman" w:hAnsi="Times New Roman" w:eastAsia="宋体" w:cs="Times New Roman"/>
                <w:i w:val="0"/>
                <w:iCs w:val="0"/>
                <w:color w:val="000000"/>
                <w:sz w:val="24"/>
                <w:szCs w:val="24"/>
                <w:highlight w:val="none"/>
                <w:u w:val="none"/>
                <w:lang w:eastAsia="zh-CN"/>
              </w:rPr>
              <w:t>。</w:t>
            </w:r>
          </w:p>
          <w:p w14:paraId="4F3F7FFD">
            <w:pPr>
              <w:keepNext w:val="0"/>
              <w:keepLines w:val="0"/>
              <w:widowControl/>
              <w:numPr>
                <w:ilvl w:val="0"/>
                <w:numId w:val="0"/>
              </w:numPr>
              <w:suppressLineNumbers w:val="0"/>
              <w:ind w:left="0" w:leftChars="0" w:firstLine="0" w:firstLineChars="0"/>
              <w:jc w:val="lef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rPr>
              <w:t>▲</w:t>
            </w:r>
            <w:r>
              <w:rPr>
                <w:rFonts w:hint="default" w:ascii="Times New Roman" w:hAnsi="Times New Roman" w:eastAsia="宋体" w:cs="Times New Roman"/>
                <w:i w:val="0"/>
                <w:iCs w:val="0"/>
                <w:color w:val="000000"/>
                <w:sz w:val="24"/>
                <w:szCs w:val="24"/>
                <w:highlight w:val="none"/>
                <w:u w:val="none"/>
                <w:lang w:val="en-US" w:eastAsia="zh-CN"/>
              </w:rPr>
              <w:t>4</w:t>
            </w:r>
            <w:r>
              <w:rPr>
                <w:rFonts w:hint="default" w:ascii="Times New Roman" w:hAnsi="Times New Roman" w:eastAsia="宋体" w:cs="Times New Roman"/>
                <w:i w:val="0"/>
                <w:iCs w:val="0"/>
                <w:color w:val="000000"/>
                <w:sz w:val="24"/>
                <w:szCs w:val="24"/>
                <w:highlight w:val="none"/>
                <w:u w:val="none"/>
              </w:rPr>
              <w:t>.为适应室外环境，设备由主体和遮阳罩组成，主体正面可见3个呈三角形排布的镜头和10颗补光灯</w:t>
            </w:r>
            <w:r>
              <w:rPr>
                <w:rFonts w:hint="default" w:ascii="Times New Roman" w:hAnsi="Times New Roman" w:eastAsia="宋体" w:cs="Times New Roman"/>
                <w:i w:val="0"/>
                <w:iCs w:val="0"/>
                <w:color w:val="000000"/>
                <w:sz w:val="24"/>
                <w:szCs w:val="24"/>
                <w:highlight w:val="none"/>
                <w:u w:val="none"/>
                <w:lang w:eastAsia="zh-CN"/>
              </w:rPr>
              <w:t>；</w:t>
            </w:r>
            <w:r>
              <w:rPr>
                <w:rFonts w:hint="default" w:ascii="Times New Roman" w:hAnsi="Times New Roman" w:eastAsia="宋体" w:cs="Times New Roman"/>
                <w:i w:val="0"/>
                <w:iCs w:val="0"/>
                <w:color w:val="000000"/>
                <w:sz w:val="24"/>
                <w:szCs w:val="24"/>
                <w:highlight w:val="none"/>
                <w:u w:val="none"/>
              </w:rPr>
              <w:t>设备的零部件应装配牢固，连接可靠（需提供具有CMA标识的检验报告证明）</w:t>
            </w:r>
            <w:r>
              <w:rPr>
                <w:rFonts w:hint="default" w:ascii="Times New Roman" w:hAnsi="Times New Roman" w:eastAsia="宋体" w:cs="Times New Roman"/>
                <w:i w:val="0"/>
                <w:iCs w:val="0"/>
                <w:color w:val="000000"/>
                <w:sz w:val="24"/>
                <w:szCs w:val="24"/>
                <w:highlight w:val="none"/>
                <w:u w:val="none"/>
                <w:lang w:eastAsia="zh-CN"/>
              </w:rPr>
              <w:t>。</w:t>
            </w:r>
          </w:p>
        </w:tc>
        <w:tc>
          <w:tcPr>
            <w:tcW w:w="349" w:type="pct"/>
            <w:noWrap w:val="0"/>
            <w:vAlign w:val="center"/>
          </w:tcPr>
          <w:p w14:paraId="0E292552">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台</w:t>
            </w:r>
          </w:p>
        </w:tc>
        <w:tc>
          <w:tcPr>
            <w:tcW w:w="352" w:type="pct"/>
            <w:noWrap w:val="0"/>
            <w:vAlign w:val="center"/>
          </w:tcPr>
          <w:p w14:paraId="77A61216">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w:t>
            </w:r>
          </w:p>
        </w:tc>
      </w:tr>
      <w:tr w14:paraId="2BF8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68BFA2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010" w:type="pct"/>
            <w:noWrap w:val="0"/>
            <w:vAlign w:val="center"/>
          </w:tcPr>
          <w:p w14:paraId="02F558C9">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安装立柱及基础</w:t>
            </w:r>
          </w:p>
        </w:tc>
        <w:tc>
          <w:tcPr>
            <w:tcW w:w="2873" w:type="pct"/>
            <w:noWrap w:val="0"/>
            <w:vAlign w:val="center"/>
          </w:tcPr>
          <w:p w14:paraId="22786B33">
            <w:pPr>
              <w:keepNext w:val="0"/>
              <w:keepLines w:val="0"/>
              <w:widowControl/>
              <w:suppressLineNumbers w:val="0"/>
              <w:jc w:val="left"/>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立杆高度为4.5m，具体根据现场适配环境定制。</w:t>
            </w:r>
          </w:p>
        </w:tc>
        <w:tc>
          <w:tcPr>
            <w:tcW w:w="349" w:type="pct"/>
            <w:noWrap w:val="0"/>
            <w:vAlign w:val="center"/>
          </w:tcPr>
          <w:p w14:paraId="264CFF8F">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套</w:t>
            </w:r>
          </w:p>
        </w:tc>
        <w:tc>
          <w:tcPr>
            <w:tcW w:w="352" w:type="pct"/>
            <w:noWrap w:val="0"/>
            <w:vAlign w:val="center"/>
          </w:tcPr>
          <w:p w14:paraId="00D6E6D6">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4</w:t>
            </w:r>
          </w:p>
        </w:tc>
      </w:tr>
      <w:tr w14:paraId="19B1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02A3EC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010" w:type="pct"/>
            <w:noWrap w:val="0"/>
            <w:vAlign w:val="center"/>
          </w:tcPr>
          <w:p w14:paraId="095A3DFE">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高清球型摄像机</w:t>
            </w:r>
          </w:p>
        </w:tc>
        <w:tc>
          <w:tcPr>
            <w:tcW w:w="2873" w:type="pct"/>
            <w:noWrap w:val="0"/>
            <w:vAlign w:val="center"/>
          </w:tcPr>
          <w:p w14:paraId="73952370">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sz w:val="24"/>
                <w:szCs w:val="24"/>
                <w:highlight w:val="none"/>
                <w:u w:val="none"/>
                <w:lang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1.传感器:</w:t>
            </w:r>
            <w:r>
              <w:rPr>
                <w:rStyle w:val="13"/>
                <w:rFonts w:hint="default" w:ascii="Times New Roman" w:hAnsi="Times New Roman" w:eastAsia="宋体" w:cs="Times New Roman"/>
                <w:highlight w:val="none"/>
                <w:lang w:val="en-US" w:eastAsia="zh-CN" w:bidi="ar"/>
              </w:rPr>
              <w:t>≥</w:t>
            </w:r>
            <w:r>
              <w:rPr>
                <w:rStyle w:val="14"/>
                <w:rFonts w:hint="default" w:ascii="Times New Roman" w:hAnsi="Times New Roman" w:cs="Times New Roman"/>
                <w:highlight w:val="none"/>
                <w:lang w:val="en-US" w:eastAsia="zh-CN" w:bidi="ar"/>
              </w:rPr>
              <w:t>1/2.8”CMOS，最低照度</w:t>
            </w:r>
            <w:r>
              <w:rPr>
                <w:rStyle w:val="14"/>
                <w:rFonts w:hint="eastAsia" w:cs="Times New Roman"/>
                <w:highlight w:val="none"/>
                <w:lang w:val="en-US" w:eastAsia="zh-CN" w:bidi="ar"/>
              </w:rPr>
              <w:t>：</w:t>
            </w:r>
            <w:r>
              <w:rPr>
                <w:rStyle w:val="14"/>
                <w:rFonts w:hint="default" w:ascii="Times New Roman" w:hAnsi="Times New Roman" w:cs="Times New Roman"/>
                <w:highlight w:val="none"/>
                <w:lang w:val="en-US" w:eastAsia="zh-CN" w:bidi="ar"/>
              </w:rPr>
              <w:t>彩色</w:t>
            </w:r>
            <w:r>
              <w:rPr>
                <w:rStyle w:val="14"/>
                <w:rFonts w:hint="eastAsia" w:cs="Times New Roman"/>
                <w:highlight w:val="none"/>
                <w:lang w:val="en-US" w:eastAsia="zh-CN" w:bidi="ar"/>
              </w:rPr>
              <w:t>：</w:t>
            </w:r>
            <w:r>
              <w:rPr>
                <w:rStyle w:val="13"/>
                <w:rFonts w:hint="default" w:ascii="Times New Roman" w:hAnsi="Times New Roman" w:eastAsia="宋体" w:cs="Times New Roman"/>
                <w:highlight w:val="none"/>
                <w:lang w:val="en-US" w:eastAsia="zh-CN" w:bidi="ar"/>
              </w:rPr>
              <w:t>≤</w:t>
            </w:r>
            <w:r>
              <w:rPr>
                <w:rStyle w:val="14"/>
                <w:rFonts w:hint="default" w:ascii="Times New Roman" w:hAnsi="Times New Roman" w:cs="Times New Roman"/>
                <w:highlight w:val="none"/>
                <w:lang w:val="en-US" w:eastAsia="zh-CN" w:bidi="ar"/>
              </w:rPr>
              <w:t>0.005Lux@(F1.6,AGCON)；黑白</w:t>
            </w:r>
            <w:r>
              <w:rPr>
                <w:rStyle w:val="14"/>
                <w:rFonts w:hint="eastAsia" w:cs="Times New Roman"/>
                <w:highlight w:val="none"/>
                <w:lang w:val="en-US" w:eastAsia="zh-CN" w:bidi="ar"/>
              </w:rPr>
              <w:t>：</w:t>
            </w:r>
            <w:r>
              <w:rPr>
                <w:rStyle w:val="13"/>
                <w:rFonts w:hint="default" w:ascii="Times New Roman" w:hAnsi="Times New Roman" w:eastAsia="宋体" w:cs="Times New Roman"/>
                <w:highlight w:val="none"/>
                <w:lang w:val="en-US" w:eastAsia="zh-CN" w:bidi="ar"/>
              </w:rPr>
              <w:t>≤</w:t>
            </w:r>
            <w:r>
              <w:rPr>
                <w:rStyle w:val="14"/>
                <w:rFonts w:hint="default" w:ascii="Times New Roman" w:hAnsi="Times New Roman" w:cs="Times New Roman"/>
                <w:highlight w:val="none"/>
                <w:lang w:val="en-US" w:eastAsia="zh-CN" w:bidi="ar"/>
              </w:rPr>
              <w:t>0.001Lux@(F1.6,AGCON)；0 Lux with IR，快门</w:t>
            </w:r>
            <w:r>
              <w:rPr>
                <w:rStyle w:val="14"/>
                <w:rFonts w:hint="eastAsia" w:cs="Times New Roman"/>
                <w:highlight w:val="none"/>
                <w:lang w:val="en-US" w:eastAsia="zh-CN" w:bidi="ar"/>
              </w:rPr>
              <w:t>：</w:t>
            </w:r>
            <w:r>
              <w:rPr>
                <w:rStyle w:val="14"/>
                <w:rFonts w:hint="default" w:ascii="Times New Roman" w:hAnsi="Times New Roman" w:cs="Times New Roman"/>
                <w:highlight w:val="none"/>
                <w:lang w:val="en-US" w:eastAsia="zh-CN" w:bidi="ar"/>
              </w:rPr>
              <w:t>1s-1/30,000s，聚焦模式</w:t>
            </w:r>
            <w:r>
              <w:rPr>
                <w:rStyle w:val="14"/>
                <w:rFonts w:hint="eastAsia" w:cs="Times New Roman"/>
                <w:highlight w:val="none"/>
                <w:lang w:val="en-US" w:eastAsia="zh-CN" w:bidi="ar"/>
              </w:rPr>
              <w:t>：</w:t>
            </w:r>
            <w:r>
              <w:rPr>
                <w:rStyle w:val="14"/>
                <w:rFonts w:hint="default" w:ascii="Times New Roman" w:hAnsi="Times New Roman" w:cs="Times New Roman"/>
                <w:highlight w:val="none"/>
                <w:lang w:val="en-US" w:eastAsia="zh-CN" w:bidi="ar"/>
              </w:rPr>
              <w:t>半自动，手动，自动。</w:t>
            </w:r>
            <w:r>
              <w:rPr>
                <w:rStyle w:val="14"/>
                <w:rFonts w:hint="default" w:ascii="Times New Roman" w:hAnsi="Times New Roman" w:cs="Times New Roman"/>
                <w:highlight w:val="none"/>
                <w:lang w:val="en-US" w:eastAsia="zh-CN" w:bidi="ar"/>
              </w:rPr>
              <w:br w:type="textWrapping"/>
            </w:r>
            <w:r>
              <w:rPr>
                <w:rStyle w:val="14"/>
                <w:rFonts w:hint="default" w:ascii="Times New Roman" w:hAnsi="Times New Roman" w:cs="Times New Roman"/>
                <w:highlight w:val="none"/>
                <w:lang w:val="en-US" w:eastAsia="zh-CN" w:bidi="ar"/>
              </w:rPr>
              <w:t>2.日夜转换模式</w:t>
            </w:r>
            <w:r>
              <w:rPr>
                <w:rStyle w:val="14"/>
                <w:rFonts w:hint="eastAsia" w:cs="Times New Roman"/>
                <w:highlight w:val="none"/>
                <w:lang w:val="en-US" w:eastAsia="zh-CN" w:bidi="ar"/>
              </w:rPr>
              <w:t>：</w:t>
            </w:r>
            <w:r>
              <w:rPr>
                <w:rStyle w:val="14"/>
                <w:rFonts w:hint="default" w:ascii="Times New Roman" w:hAnsi="Times New Roman" w:cs="Times New Roman"/>
                <w:highlight w:val="none"/>
                <w:lang w:val="en-US" w:eastAsia="zh-CN" w:bidi="ar"/>
              </w:rPr>
              <w:t>自动 CR彩转黑，日夜转换方式:白天，夜晚，自动，定时切换。</w:t>
            </w:r>
            <w:r>
              <w:rPr>
                <w:rStyle w:val="14"/>
                <w:rFonts w:hint="default" w:ascii="Times New Roman" w:hAnsi="Times New Roman" w:cs="Times New Roman"/>
                <w:highlight w:val="none"/>
                <w:lang w:val="en-US" w:eastAsia="zh-CN" w:bidi="ar"/>
              </w:rPr>
              <w:br w:type="textWrapping"/>
            </w:r>
            <w:r>
              <w:rPr>
                <w:rStyle w:val="14"/>
                <w:rFonts w:hint="default" w:ascii="Times New Roman" w:hAnsi="Times New Roman" w:cs="Times New Roman"/>
                <w:highlight w:val="none"/>
                <w:lang w:val="en-US" w:eastAsia="zh-CN" w:bidi="ar"/>
              </w:rPr>
              <w:t>3.背光补偿</w:t>
            </w:r>
            <w:r>
              <w:rPr>
                <w:rStyle w:val="14"/>
                <w:rFonts w:hint="eastAsia" w:cs="Times New Roman"/>
                <w:highlight w:val="none"/>
                <w:lang w:val="en-US" w:eastAsia="zh-CN" w:bidi="ar"/>
              </w:rPr>
              <w:t>：</w:t>
            </w:r>
            <w:r>
              <w:rPr>
                <w:rStyle w:val="14"/>
                <w:rFonts w:hint="default" w:ascii="Times New Roman" w:hAnsi="Times New Roman" w:cs="Times New Roman"/>
                <w:highlight w:val="none"/>
                <w:lang w:val="en-US" w:eastAsia="zh-CN" w:bidi="ar"/>
              </w:rPr>
              <w:t>支持，强光抑制:支持，光学变倍:</w:t>
            </w:r>
            <w:r>
              <w:rPr>
                <w:rStyle w:val="13"/>
                <w:rFonts w:hint="default" w:ascii="Times New Roman" w:hAnsi="Times New Roman" w:eastAsia="宋体" w:cs="Times New Roman"/>
                <w:highlight w:val="none"/>
                <w:lang w:val="en-US" w:eastAsia="zh-CN" w:bidi="ar"/>
              </w:rPr>
              <w:t>≥</w:t>
            </w:r>
            <w:r>
              <w:rPr>
                <w:rStyle w:val="14"/>
                <w:rFonts w:hint="default" w:ascii="Times New Roman" w:hAnsi="Times New Roman" w:cs="Times New Roman"/>
                <w:highlight w:val="none"/>
                <w:lang w:val="en-US" w:eastAsia="zh-CN" w:bidi="ar"/>
              </w:rPr>
              <w:t>23 倍，信噪比:&gt;52dB。</w:t>
            </w:r>
            <w:r>
              <w:rPr>
                <w:rStyle w:val="14"/>
                <w:rFonts w:hint="default" w:ascii="Times New Roman" w:hAnsi="Times New Roman" w:cs="Times New Roman"/>
                <w:highlight w:val="none"/>
                <w:lang w:val="en-US" w:eastAsia="zh-CN" w:bidi="ar"/>
              </w:rPr>
              <w:br w:type="textWrapping"/>
            </w:r>
            <w:r>
              <w:rPr>
                <w:rStyle w:val="14"/>
                <w:rFonts w:hint="default" w:ascii="Times New Roman" w:hAnsi="Times New Roman" w:cs="Times New Roman"/>
                <w:highlight w:val="none"/>
                <w:lang w:val="en-US" w:eastAsia="zh-CN" w:bidi="ar"/>
              </w:rPr>
              <w:t>4.设备内置不少于2个全景通道和1个细节通道，细节最大分辨率不小于2560*1440。</w:t>
            </w:r>
            <w:r>
              <w:rPr>
                <w:rStyle w:val="14"/>
                <w:rFonts w:hint="default" w:ascii="Times New Roman" w:hAnsi="Times New Roman" w:cs="Times New Roman"/>
                <w:highlight w:val="none"/>
                <w:lang w:val="en-US" w:eastAsia="zh-CN" w:bidi="ar"/>
              </w:rPr>
              <w:br w:type="textWrapping"/>
            </w:r>
            <w:r>
              <w:rPr>
                <w:rStyle w:val="14"/>
                <w:rFonts w:hint="default" w:ascii="Times New Roman" w:hAnsi="Times New Roman" w:cs="Times New Roman"/>
                <w:highlight w:val="none"/>
                <w:lang w:val="en-US" w:eastAsia="zh-CN" w:bidi="ar"/>
              </w:rPr>
              <w:t>▲5</w:t>
            </w:r>
            <w:r>
              <w:rPr>
                <w:rStyle w:val="14"/>
                <w:rFonts w:hint="eastAsia" w:cs="Times New Roman"/>
                <w:highlight w:val="none"/>
                <w:lang w:val="en-US" w:eastAsia="zh-CN" w:bidi="ar"/>
              </w:rPr>
              <w:t>.</w:t>
            </w:r>
            <w:r>
              <w:rPr>
                <w:rStyle w:val="14"/>
                <w:rFonts w:hint="default" w:ascii="Times New Roman" w:hAnsi="Times New Roman" w:cs="Times New Roman"/>
                <w:highlight w:val="none"/>
                <w:lang w:val="en-US" w:eastAsia="zh-CN" w:bidi="ar"/>
              </w:rPr>
              <w:t>全景支持拼接模式和非拼接模式，在拼接模式下，全景通道支持分辨率不小于3680×1656；在不拼接模式下，可输出2个全景通道，支持分辨率不小于1920×1632。</w:t>
            </w:r>
            <w:r>
              <w:rPr>
                <w:rFonts w:hint="default" w:ascii="Times New Roman" w:hAnsi="Times New Roman" w:eastAsia="宋体" w:cs="Times New Roman"/>
                <w:i w:val="0"/>
                <w:iCs w:val="0"/>
                <w:color w:val="000000"/>
                <w:sz w:val="24"/>
                <w:szCs w:val="24"/>
                <w:highlight w:val="none"/>
                <w:u w:val="none"/>
              </w:rPr>
              <w:t>（需提供具有CMA标识的检验报告证明）</w:t>
            </w:r>
            <w:r>
              <w:rPr>
                <w:rFonts w:hint="default" w:ascii="Times New Roman" w:hAnsi="Times New Roman" w:eastAsia="宋体" w:cs="Times New Roman"/>
                <w:i w:val="0"/>
                <w:iCs w:val="0"/>
                <w:color w:val="000000"/>
                <w:sz w:val="24"/>
                <w:szCs w:val="24"/>
                <w:highlight w:val="none"/>
                <w:u w:val="none"/>
                <w:lang w:eastAsia="zh-CN"/>
              </w:rPr>
              <w:t>。</w:t>
            </w:r>
          </w:p>
          <w:p w14:paraId="178858EF">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sz w:val="24"/>
                <w:szCs w:val="24"/>
                <w:highlight w:val="none"/>
                <w:u w:val="none"/>
                <w:lang w:eastAsia="zh-CN"/>
              </w:rPr>
            </w:pPr>
            <w:r>
              <w:rPr>
                <w:rStyle w:val="14"/>
                <w:rFonts w:hint="default" w:ascii="Times New Roman" w:hAnsi="Times New Roman" w:cs="Times New Roman"/>
                <w:highlight w:val="none"/>
                <w:lang w:val="en-US" w:eastAsia="zh-CN" w:bidi="ar"/>
              </w:rPr>
              <w:t>6</w:t>
            </w:r>
            <w:r>
              <w:rPr>
                <w:rStyle w:val="14"/>
                <w:rFonts w:hint="eastAsia" w:cs="Times New Roman"/>
                <w:highlight w:val="none"/>
                <w:lang w:val="en-US" w:eastAsia="zh-CN" w:bidi="ar"/>
              </w:rPr>
              <w:t>.</w:t>
            </w:r>
            <w:r>
              <w:rPr>
                <w:rStyle w:val="14"/>
                <w:rFonts w:hint="default" w:ascii="Times New Roman" w:hAnsi="Times New Roman" w:cs="Times New Roman"/>
                <w:highlight w:val="none"/>
                <w:lang w:val="en-US" w:eastAsia="zh-CN" w:bidi="ar"/>
              </w:rPr>
              <w:t>全景通道1、2：支持水平:0°-90°，垂直0°-350°，轴心方向0°-350°</w:t>
            </w:r>
            <w:r>
              <w:rPr>
                <w:rStyle w:val="14"/>
                <w:rFonts w:hint="eastAsia" w:cs="Times New Roman"/>
                <w:highlight w:val="none"/>
                <w:lang w:val="en-US" w:eastAsia="zh-CN" w:bidi="ar"/>
              </w:rPr>
              <w:t>；</w:t>
            </w:r>
            <w:r>
              <w:rPr>
                <w:rStyle w:val="14"/>
                <w:rFonts w:hint="default" w:ascii="Times New Roman" w:hAnsi="Times New Roman" w:cs="Times New Roman"/>
                <w:highlight w:val="none"/>
                <w:lang w:val="en-US" w:eastAsia="zh-CN" w:bidi="ar"/>
              </w:rPr>
              <w:t>细节通道</w:t>
            </w:r>
            <w:r>
              <w:rPr>
                <w:rStyle w:val="14"/>
                <w:rFonts w:hint="eastAsia" w:cs="Times New Roman"/>
                <w:highlight w:val="none"/>
                <w:lang w:val="en-US" w:eastAsia="zh-CN" w:bidi="ar"/>
              </w:rPr>
              <w:t>：</w:t>
            </w:r>
            <w:r>
              <w:rPr>
                <w:rStyle w:val="14"/>
                <w:rFonts w:hint="default" w:ascii="Times New Roman" w:hAnsi="Times New Roman" w:cs="Times New Roman"/>
                <w:highlight w:val="none"/>
                <w:lang w:val="en-US" w:eastAsia="zh-CN" w:bidi="ar"/>
              </w:rPr>
              <w:t>水平</w:t>
            </w:r>
            <w:r>
              <w:rPr>
                <w:rStyle w:val="14"/>
                <w:rFonts w:hint="eastAsia" w:cs="Times New Roman"/>
                <w:highlight w:val="none"/>
                <w:lang w:val="en-US" w:eastAsia="zh-CN" w:bidi="ar"/>
              </w:rPr>
              <w:t>：</w:t>
            </w:r>
            <w:r>
              <w:rPr>
                <w:rStyle w:val="14"/>
                <w:rFonts w:hint="default" w:ascii="Times New Roman" w:hAnsi="Times New Roman" w:cs="Times New Roman"/>
                <w:highlight w:val="none"/>
                <w:lang w:val="en-US" w:eastAsia="zh-CN" w:bidi="ar"/>
              </w:rPr>
              <w:t>0°-360°垂直:-10°-90°</w:t>
            </w:r>
            <w:r>
              <w:rPr>
                <w:rFonts w:hint="default" w:ascii="Times New Roman" w:hAnsi="Times New Roman" w:eastAsia="宋体" w:cs="Times New Roman"/>
                <w:i w:val="0"/>
                <w:iCs w:val="0"/>
                <w:color w:val="000000"/>
                <w:sz w:val="24"/>
                <w:szCs w:val="24"/>
                <w:highlight w:val="none"/>
                <w:u w:val="none"/>
                <w:lang w:eastAsia="zh-CN"/>
              </w:rPr>
              <w:t>。</w:t>
            </w:r>
            <w:r>
              <w:rPr>
                <w:rStyle w:val="14"/>
                <w:rFonts w:hint="default" w:ascii="Times New Roman" w:hAnsi="Times New Roman" w:cs="Times New Roman"/>
                <w:highlight w:val="none"/>
                <w:lang w:val="en-US" w:eastAsia="zh-CN" w:bidi="ar"/>
              </w:rPr>
              <w:br w:type="textWrapping"/>
            </w:r>
            <w:r>
              <w:rPr>
                <w:rStyle w:val="14"/>
                <w:rFonts w:hint="default" w:ascii="Times New Roman" w:hAnsi="Times New Roman" w:cs="Times New Roman"/>
                <w:highlight w:val="none"/>
                <w:lang w:val="en-US" w:eastAsia="zh-CN" w:bidi="ar"/>
              </w:rPr>
              <w:t>▲7</w:t>
            </w:r>
            <w:r>
              <w:rPr>
                <w:rStyle w:val="14"/>
                <w:rFonts w:hint="eastAsia" w:cs="Times New Roman"/>
                <w:highlight w:val="none"/>
                <w:lang w:val="en-US" w:eastAsia="zh-CN" w:bidi="ar"/>
              </w:rPr>
              <w:t>.</w:t>
            </w:r>
            <w:r>
              <w:rPr>
                <w:rStyle w:val="14"/>
                <w:rFonts w:hint="default" w:ascii="Times New Roman" w:hAnsi="Times New Roman" w:cs="Times New Roman"/>
                <w:highlight w:val="none"/>
                <w:lang w:val="en-US" w:eastAsia="zh-CN" w:bidi="ar"/>
              </w:rPr>
              <w:t>细节镜头、全景1镜头和全景2镜头可分开进行水平垂直方向调节，全景1镜头进行水平、垂直调节时，全景镜头2可保持不动；全景1镜头和全景2镜头进行水平垂直方向调节时，细节镜头可保持不变</w:t>
            </w:r>
            <w:r>
              <w:rPr>
                <w:rFonts w:hint="default" w:ascii="Times New Roman" w:hAnsi="Times New Roman" w:eastAsia="宋体" w:cs="Times New Roman"/>
                <w:i w:val="0"/>
                <w:iCs w:val="0"/>
                <w:color w:val="000000"/>
                <w:sz w:val="24"/>
                <w:szCs w:val="24"/>
                <w:highlight w:val="none"/>
                <w:u w:val="none"/>
              </w:rPr>
              <w:t>（需提供具有CMA标识的检验报告证明）</w:t>
            </w:r>
            <w:r>
              <w:rPr>
                <w:rFonts w:hint="default" w:ascii="Times New Roman" w:hAnsi="Times New Roman" w:eastAsia="宋体" w:cs="Times New Roman"/>
                <w:i w:val="0"/>
                <w:iCs w:val="0"/>
                <w:color w:val="000000"/>
                <w:sz w:val="24"/>
                <w:szCs w:val="24"/>
                <w:highlight w:val="none"/>
                <w:u w:val="none"/>
                <w:lang w:eastAsia="zh-CN"/>
              </w:rPr>
              <w:t>。</w:t>
            </w:r>
            <w:r>
              <w:rPr>
                <w:rStyle w:val="14"/>
                <w:rFonts w:hint="default" w:ascii="Times New Roman" w:hAnsi="Times New Roman" w:cs="Times New Roman"/>
                <w:highlight w:val="none"/>
                <w:lang w:val="en-US" w:eastAsia="zh-CN" w:bidi="ar"/>
              </w:rPr>
              <w:br w:type="textWrapping"/>
            </w:r>
            <w:r>
              <w:rPr>
                <w:rStyle w:val="14"/>
                <w:rFonts w:hint="default" w:ascii="Times New Roman" w:hAnsi="Times New Roman" w:cs="Times New Roman"/>
                <w:highlight w:val="none"/>
                <w:lang w:val="en-US" w:eastAsia="zh-CN" w:bidi="ar"/>
              </w:rPr>
              <w:t>8.细节通道支持smart事件、全结构化模式，智能功能可任意选择保存生效</w:t>
            </w:r>
            <w:r>
              <w:rPr>
                <w:rFonts w:hint="default" w:ascii="Times New Roman" w:hAnsi="Times New Roman" w:eastAsia="宋体" w:cs="Times New Roman"/>
                <w:i w:val="0"/>
                <w:iCs w:val="0"/>
                <w:color w:val="000000"/>
                <w:sz w:val="24"/>
                <w:szCs w:val="24"/>
                <w:highlight w:val="none"/>
                <w:u w:val="none"/>
                <w:lang w:eastAsia="zh-CN"/>
              </w:rPr>
              <w:t>。</w:t>
            </w:r>
          </w:p>
          <w:p w14:paraId="7F31C862">
            <w:pPr>
              <w:keepNext w:val="0"/>
              <w:keepLines w:val="0"/>
              <w:widowControl/>
              <w:suppressLineNumbers w:val="0"/>
              <w:jc w:val="left"/>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Style w:val="14"/>
                <w:rFonts w:hint="default" w:ascii="Times New Roman" w:hAnsi="Times New Roman" w:cs="Times New Roman"/>
                <w:highlight w:val="none"/>
                <w:lang w:val="en-US" w:eastAsia="zh-CN" w:bidi="ar"/>
              </w:rPr>
              <w:t>▲9.全景通道支持一键拼接功能，可将2个全景画面进行拼接输出，在拼接模式下，设备可输出全景和细节2个视频画面，在非拼接模式下，设备可输出全景通道1、全景通道2和细节通道共3个视频画面</w:t>
            </w:r>
            <w:r>
              <w:rPr>
                <w:rFonts w:hint="default" w:ascii="Times New Roman" w:hAnsi="Times New Roman" w:eastAsia="宋体" w:cs="Times New Roman"/>
                <w:i w:val="0"/>
                <w:iCs w:val="0"/>
                <w:color w:val="000000"/>
                <w:sz w:val="24"/>
                <w:szCs w:val="24"/>
                <w:highlight w:val="none"/>
                <w:u w:val="none"/>
              </w:rPr>
              <w:t>（需提供具有CMA标识的检验报告证明）</w:t>
            </w:r>
            <w:r>
              <w:rPr>
                <w:rFonts w:hint="default" w:ascii="Times New Roman" w:hAnsi="Times New Roman" w:eastAsia="宋体" w:cs="Times New Roman"/>
                <w:i w:val="0"/>
                <w:iCs w:val="0"/>
                <w:color w:val="000000"/>
                <w:sz w:val="24"/>
                <w:szCs w:val="24"/>
                <w:highlight w:val="none"/>
                <w:u w:val="none"/>
                <w:lang w:eastAsia="zh-CN"/>
              </w:rPr>
              <w:t>。</w:t>
            </w:r>
            <w:r>
              <w:rPr>
                <w:rStyle w:val="14"/>
                <w:rFonts w:hint="default" w:ascii="Times New Roman" w:hAnsi="Times New Roman" w:cs="Times New Roman"/>
                <w:highlight w:val="none"/>
                <w:lang w:val="en-US" w:eastAsia="zh-CN" w:bidi="ar"/>
              </w:rPr>
              <w:t xml:space="preserve"> </w:t>
            </w:r>
          </w:p>
        </w:tc>
        <w:tc>
          <w:tcPr>
            <w:tcW w:w="349" w:type="pct"/>
            <w:noWrap w:val="0"/>
            <w:vAlign w:val="center"/>
          </w:tcPr>
          <w:p w14:paraId="75E88E99">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台</w:t>
            </w:r>
          </w:p>
        </w:tc>
        <w:tc>
          <w:tcPr>
            <w:tcW w:w="352" w:type="pct"/>
            <w:noWrap w:val="0"/>
            <w:vAlign w:val="center"/>
          </w:tcPr>
          <w:p w14:paraId="4D069037">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r>
      <w:tr w14:paraId="08D7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5B0690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010" w:type="pct"/>
            <w:noWrap w:val="0"/>
            <w:vAlign w:val="center"/>
          </w:tcPr>
          <w:p w14:paraId="6A596FE1">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球机壁装支架</w:t>
            </w:r>
          </w:p>
        </w:tc>
        <w:tc>
          <w:tcPr>
            <w:tcW w:w="2873" w:type="pct"/>
            <w:noWrap w:val="0"/>
            <w:vAlign w:val="center"/>
          </w:tcPr>
          <w:p w14:paraId="7D572DAD">
            <w:pPr>
              <w:keepNext w:val="0"/>
              <w:keepLines w:val="0"/>
              <w:widowControl/>
              <w:suppressLineNumbers w:val="0"/>
              <w:jc w:val="left"/>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铝合金材质，具体根据现场适配环境定制。</w:t>
            </w:r>
          </w:p>
        </w:tc>
        <w:tc>
          <w:tcPr>
            <w:tcW w:w="349" w:type="pct"/>
            <w:noWrap w:val="0"/>
            <w:vAlign w:val="center"/>
          </w:tcPr>
          <w:p w14:paraId="34A8628C">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个</w:t>
            </w:r>
          </w:p>
        </w:tc>
        <w:tc>
          <w:tcPr>
            <w:tcW w:w="352" w:type="pct"/>
            <w:noWrap w:val="0"/>
            <w:vAlign w:val="center"/>
          </w:tcPr>
          <w:p w14:paraId="3BF6F8D1">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r>
      <w:tr w14:paraId="7D0F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shd w:val="clear" w:color="auto" w:fill="auto"/>
            <w:noWrap w:val="0"/>
            <w:vAlign w:val="center"/>
          </w:tcPr>
          <w:p w14:paraId="276535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010" w:type="pct"/>
            <w:shd w:val="clear" w:color="auto" w:fill="auto"/>
            <w:noWrap w:val="0"/>
            <w:vAlign w:val="center"/>
          </w:tcPr>
          <w:p w14:paraId="271A78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bookmarkStart w:id="5" w:name="OLE_LINK11"/>
            <w:r>
              <w:rPr>
                <w:rFonts w:hint="default" w:ascii="Times New Roman" w:hAnsi="Times New Roman" w:eastAsia="宋体" w:cs="Times New Roman"/>
                <w:i w:val="0"/>
                <w:iCs w:val="0"/>
                <w:color w:val="000000"/>
                <w:kern w:val="0"/>
                <w:sz w:val="24"/>
                <w:szCs w:val="24"/>
                <w:highlight w:val="none"/>
                <w:u w:val="none"/>
                <w:lang w:val="en-US" w:eastAsia="zh-CN" w:bidi="ar"/>
              </w:rPr>
              <w:t>现场采集工控机</w:t>
            </w:r>
            <w:bookmarkEnd w:id="5"/>
          </w:p>
        </w:tc>
        <w:tc>
          <w:tcPr>
            <w:tcW w:w="2873" w:type="pct"/>
            <w:shd w:val="clear" w:color="auto" w:fill="FFFFFF"/>
            <w:noWrap w:val="0"/>
            <w:vAlign w:val="center"/>
          </w:tcPr>
          <w:p w14:paraId="33475A5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1.CPU：≥6核，内存：≥8GB，固态硬盘：≥1个256G SSD。</w:t>
            </w:r>
          </w:p>
          <w:p w14:paraId="63BDE9E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bookmarkStart w:id="6" w:name="OLE_LINK9"/>
            <w:r>
              <w:rPr>
                <w:rFonts w:hint="default" w:ascii="Times New Roman" w:hAnsi="Times New Roman" w:eastAsia="宋体" w:cs="Times New Roman"/>
                <w:i w:val="0"/>
                <w:iCs w:val="0"/>
                <w:color w:val="000000"/>
                <w:kern w:val="0"/>
                <w:sz w:val="24"/>
                <w:szCs w:val="24"/>
                <w:highlight w:val="none"/>
                <w:u w:val="none"/>
                <w:lang w:val="en-US" w:eastAsia="zh-CN" w:bidi="ar"/>
              </w:rPr>
              <w:t>支持应用软件向导式启动，支持更新升级；支持windows应用虚拟化；支持双系统同时开机同时使用；支持对操作系统进行镜像备份和恢复。</w:t>
            </w:r>
            <w:r>
              <w:rPr>
                <w:rFonts w:hint="default" w:ascii="Times New Roman" w:hAnsi="Times New Roman" w:eastAsia="宋体" w:cs="Times New Roman"/>
                <w:i w:val="0"/>
                <w:iCs w:val="0"/>
                <w:color w:val="000000"/>
                <w:sz w:val="24"/>
                <w:szCs w:val="24"/>
                <w:highlight w:val="none"/>
                <w:u w:val="none"/>
              </w:rPr>
              <w:t>（需提供具有CMA标识的检验报告证明）</w:t>
            </w:r>
            <w:bookmarkEnd w:id="6"/>
            <w:r>
              <w:rPr>
                <w:rFonts w:hint="default" w:ascii="Times New Roman" w:hAnsi="Times New Roman" w:eastAsia="宋体" w:cs="Times New Roman"/>
                <w:i w:val="0"/>
                <w:iCs w:val="0"/>
                <w:color w:val="000000"/>
                <w:sz w:val="24"/>
                <w:szCs w:val="24"/>
                <w:highlight w:val="none"/>
                <w:u w:val="none"/>
                <w:lang w:eastAsia="zh-CN"/>
              </w:rPr>
              <w:t>。</w:t>
            </w:r>
          </w:p>
        </w:tc>
        <w:tc>
          <w:tcPr>
            <w:tcW w:w="349" w:type="pct"/>
            <w:noWrap w:val="0"/>
            <w:vAlign w:val="center"/>
          </w:tcPr>
          <w:p w14:paraId="0C783F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台</w:t>
            </w:r>
          </w:p>
        </w:tc>
        <w:tc>
          <w:tcPr>
            <w:tcW w:w="352" w:type="pct"/>
            <w:noWrap w:val="0"/>
            <w:vAlign w:val="center"/>
          </w:tcPr>
          <w:p w14:paraId="6CF7A5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w:t>
            </w:r>
          </w:p>
        </w:tc>
      </w:tr>
      <w:tr w14:paraId="2337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shd w:val="clear" w:color="auto" w:fill="auto"/>
            <w:noWrap w:val="0"/>
            <w:vAlign w:val="center"/>
          </w:tcPr>
          <w:p w14:paraId="5EA023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010" w:type="pct"/>
            <w:shd w:val="clear" w:color="auto" w:fill="auto"/>
            <w:noWrap w:val="0"/>
            <w:vAlign w:val="center"/>
          </w:tcPr>
          <w:p w14:paraId="54E6A0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硬盘录像机</w:t>
            </w:r>
          </w:p>
        </w:tc>
        <w:tc>
          <w:tcPr>
            <w:tcW w:w="2873" w:type="pct"/>
            <w:shd w:val="clear" w:color="auto" w:fill="FFFFFF"/>
            <w:noWrap w:val="0"/>
            <w:vAlign w:val="center"/>
          </w:tcPr>
          <w:p w14:paraId="3928D01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1.存储接口：≥3个SATA接口，含6T硬盘1块。</w:t>
            </w:r>
          </w:p>
          <w:p w14:paraId="7025BC5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2.视频接口：≥1×HDMI，1×VGA。</w:t>
            </w:r>
          </w:p>
          <w:p w14:paraId="7E40AB3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3.网络接口：≥2×RJ45 10/100/1000Mbps自适应以太网口。</w:t>
            </w:r>
          </w:p>
          <w:p w14:paraId="229B904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4.报警接口：≥4路报警输入，1路报警输出。</w:t>
            </w:r>
          </w:p>
          <w:p w14:paraId="45D228E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5.USB接口：≥1×USB 2.0，1×USB 3.0。</w:t>
            </w:r>
          </w:p>
          <w:p w14:paraId="0A35B9D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支持文搜功能，可通过文字语义描述，快速检索目标对象或内容；支持对车辆、非机动车、物品基础事件等类型的检索；并可基于文搜快速检索的结果，对目标进行图搜的二次精准检索定位（需提供具有CMA标识的检测报告证明）。</w:t>
            </w:r>
          </w:p>
          <w:p w14:paraId="3581EC75">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▲7.支持切片回放，支持按月、日、小时维度进行切片展示，按月最大支持30个切片，按日最大支持24个切片，按时最大支持60个切片（需提供具有CMA标识的检测报告证明）。</w:t>
            </w:r>
          </w:p>
        </w:tc>
        <w:tc>
          <w:tcPr>
            <w:tcW w:w="349" w:type="pct"/>
            <w:noWrap w:val="0"/>
            <w:vAlign w:val="center"/>
          </w:tcPr>
          <w:p w14:paraId="2BD4ED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台</w:t>
            </w:r>
          </w:p>
        </w:tc>
        <w:tc>
          <w:tcPr>
            <w:tcW w:w="352" w:type="pct"/>
            <w:noWrap w:val="0"/>
            <w:vAlign w:val="center"/>
          </w:tcPr>
          <w:p w14:paraId="693B8D8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w:t>
            </w:r>
          </w:p>
        </w:tc>
      </w:tr>
      <w:tr w14:paraId="695C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48953C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010" w:type="pct"/>
            <w:noWrap w:val="0"/>
            <w:vAlign w:val="center"/>
          </w:tcPr>
          <w:p w14:paraId="7ACDAD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p w14:paraId="2471026D">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数据采集分析箱</w:t>
            </w:r>
          </w:p>
        </w:tc>
        <w:tc>
          <w:tcPr>
            <w:tcW w:w="2873" w:type="pct"/>
            <w:noWrap w:val="0"/>
            <w:vAlign w:val="center"/>
          </w:tcPr>
          <w:p w14:paraId="4BBC1DB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1.最大接入数：32个传感器或采集模块。</w:t>
            </w:r>
          </w:p>
          <w:p w14:paraId="61B5BB8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2.内置电池：内置可充电聚合物锂电池10000mAh@11.1V 。</w:t>
            </w:r>
          </w:p>
          <w:p w14:paraId="335838F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3.充电电压：DC15V~DC24V</w:t>
            </w:r>
          </w:p>
          <w:p w14:paraId="34FBD0F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4.通信方式：支持含RJ45、10/100Mbps、4G通信和RS485从机接口。</w:t>
            </w:r>
          </w:p>
          <w:p w14:paraId="590FFBA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5.数据存储条数：离线数据存储最多8万条。</w:t>
            </w:r>
          </w:p>
          <w:p w14:paraId="057B136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6.远程升级：支持FOTA升级 。</w:t>
            </w:r>
          </w:p>
          <w:p w14:paraId="1A56DAA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7.常规功能：支持数据离线保存断点续传 远程配置参数 设备状态展示。</w:t>
            </w:r>
          </w:p>
        </w:tc>
        <w:tc>
          <w:tcPr>
            <w:tcW w:w="349" w:type="pct"/>
            <w:noWrap w:val="0"/>
            <w:vAlign w:val="center"/>
          </w:tcPr>
          <w:p w14:paraId="4EFA0539">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p>
          <w:p w14:paraId="6C7039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台</w:t>
            </w:r>
          </w:p>
        </w:tc>
        <w:tc>
          <w:tcPr>
            <w:tcW w:w="352" w:type="pct"/>
            <w:noWrap w:val="0"/>
            <w:vAlign w:val="center"/>
          </w:tcPr>
          <w:p w14:paraId="03AE92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p w14:paraId="1E852F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w:t>
            </w:r>
          </w:p>
        </w:tc>
      </w:tr>
      <w:tr w14:paraId="71C53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71DB16A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010" w:type="pct"/>
            <w:noWrap w:val="0"/>
            <w:vAlign w:val="center"/>
          </w:tcPr>
          <w:p w14:paraId="2413D379">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应变采集通道</w:t>
            </w:r>
          </w:p>
        </w:tc>
        <w:tc>
          <w:tcPr>
            <w:tcW w:w="2873" w:type="pct"/>
            <w:noWrap w:val="0"/>
            <w:vAlign w:val="center"/>
          </w:tcPr>
          <w:p w14:paraId="682F531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bookmarkStart w:id="7" w:name="OLE_LINK12"/>
            <w:r>
              <w:rPr>
                <w:rFonts w:hint="default" w:ascii="Times New Roman" w:hAnsi="Times New Roman" w:eastAsia="宋体" w:cs="Times New Roman"/>
                <w:i w:val="0"/>
                <w:iCs w:val="0"/>
                <w:color w:val="000000"/>
                <w:kern w:val="0"/>
                <w:sz w:val="24"/>
                <w:szCs w:val="24"/>
                <w:highlight w:val="none"/>
                <w:u w:val="none"/>
                <w:lang w:val="en-US" w:eastAsia="zh-CN" w:bidi="ar"/>
              </w:rPr>
              <w:t>1.单台采集箱测点数</w:t>
            </w:r>
            <w:r>
              <w:rPr>
                <w:rFonts w:hint="eastAsia" w:eastAsia="宋体" w:cs="Times New Roman"/>
                <w:i w:val="0"/>
                <w:iCs w:val="0"/>
                <w:color w:val="000000"/>
                <w:kern w:val="0"/>
                <w:sz w:val="24"/>
                <w:szCs w:val="24"/>
                <w:highlight w:val="none"/>
                <w:u w:val="none"/>
                <w:lang w:val="en-US" w:eastAsia="zh-CN"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≥8。</w:t>
            </w:r>
          </w:p>
          <w:p w14:paraId="1BE802F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2.最高采样频率：静态10Hz(RS485)，动态100Hz(LAN)。</w:t>
            </w:r>
          </w:p>
          <w:p w14:paraId="0C23D0D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3.A/D分辨率</w:t>
            </w:r>
            <w:r>
              <w:rPr>
                <w:rFonts w:hint="eastAsia" w:eastAsia="宋体" w:cs="Times New Roman"/>
                <w:i w:val="0"/>
                <w:iCs w:val="0"/>
                <w:color w:val="000000"/>
                <w:kern w:val="0"/>
                <w:sz w:val="24"/>
                <w:szCs w:val="24"/>
                <w:highlight w:val="none"/>
                <w:u w:val="none"/>
                <w:lang w:val="en-US" w:eastAsia="zh-CN"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≥24 位；分辨率：≥1µε。</w:t>
            </w:r>
          </w:p>
          <w:p w14:paraId="11B17D4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4.系统不确定度：不大于0.5 %± 3 µε。</w:t>
            </w:r>
          </w:p>
          <w:p w14:paraId="51DA5C0C">
            <w:pPr>
              <w:keepNext w:val="0"/>
              <w:keepLines w:val="0"/>
              <w:widowControl/>
              <w:suppressLineNumbers w:val="0"/>
              <w:jc w:val="left"/>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5.供桥电压：DC 2V，电源：DC12V。</w:t>
            </w:r>
            <w:bookmarkEnd w:id="7"/>
          </w:p>
        </w:tc>
        <w:tc>
          <w:tcPr>
            <w:tcW w:w="349" w:type="pct"/>
            <w:noWrap w:val="0"/>
            <w:vAlign w:val="center"/>
          </w:tcPr>
          <w:p w14:paraId="22AED3D3">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台</w:t>
            </w:r>
          </w:p>
        </w:tc>
        <w:tc>
          <w:tcPr>
            <w:tcW w:w="352" w:type="pct"/>
            <w:noWrap w:val="0"/>
            <w:vAlign w:val="center"/>
          </w:tcPr>
          <w:p w14:paraId="016A80BC">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r>
      <w:tr w14:paraId="7BEB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0B9DBE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010" w:type="pct"/>
            <w:noWrap w:val="0"/>
            <w:vAlign w:val="center"/>
          </w:tcPr>
          <w:p w14:paraId="5C42B2E8">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无线信号传输模块</w:t>
            </w:r>
          </w:p>
        </w:tc>
        <w:tc>
          <w:tcPr>
            <w:tcW w:w="2873" w:type="pct"/>
            <w:noWrap w:val="0"/>
            <w:vAlign w:val="center"/>
          </w:tcPr>
          <w:p w14:paraId="755F41F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1.有线传输率：千兆端口；支持频率：4G。</w:t>
            </w:r>
          </w:p>
          <w:p w14:paraId="44E255FC">
            <w:pPr>
              <w:keepNext w:val="0"/>
              <w:keepLines w:val="0"/>
              <w:widowControl/>
              <w:suppressLineNumbers w:val="0"/>
              <w:jc w:val="left"/>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2.单月不少于80G流量。</w:t>
            </w:r>
          </w:p>
        </w:tc>
        <w:tc>
          <w:tcPr>
            <w:tcW w:w="349" w:type="pct"/>
            <w:noWrap w:val="0"/>
            <w:vAlign w:val="center"/>
          </w:tcPr>
          <w:p w14:paraId="69F0374D">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套</w:t>
            </w:r>
          </w:p>
        </w:tc>
        <w:tc>
          <w:tcPr>
            <w:tcW w:w="352" w:type="pct"/>
            <w:noWrap w:val="0"/>
            <w:vAlign w:val="center"/>
          </w:tcPr>
          <w:p w14:paraId="4A2F25DB">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r>
      <w:tr w14:paraId="4A9F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shd w:val="clear" w:color="auto" w:fill="auto"/>
            <w:noWrap w:val="0"/>
            <w:vAlign w:val="center"/>
          </w:tcPr>
          <w:p w14:paraId="328280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010" w:type="pct"/>
            <w:shd w:val="clear" w:color="auto" w:fill="auto"/>
            <w:noWrap w:val="0"/>
            <w:vAlign w:val="center"/>
          </w:tcPr>
          <w:p w14:paraId="491221B8">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工业级交换机</w:t>
            </w:r>
          </w:p>
        </w:tc>
        <w:tc>
          <w:tcPr>
            <w:tcW w:w="2873" w:type="pct"/>
            <w:shd w:val="clear" w:color="auto" w:fill="FFFFFF"/>
            <w:noWrap w:val="0"/>
            <w:vAlign w:val="center"/>
          </w:tcPr>
          <w:p w14:paraId="04A6D03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1.提供千兆POE电口≥24，千兆光口≥4，无风扇机架式安装，工业级48-54VDC双输入,交换容量≥256Gbps，包转发能力≥51Mpps。</w:t>
            </w:r>
          </w:p>
          <w:p w14:paraId="16F355E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2.支持802.3af/at智能POE，POE功率≥370W，电源防雷等级≥4KV。</w:t>
            </w:r>
          </w:p>
          <w:p w14:paraId="7EB89EE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3.支持STP/EAPS/ERPS等工业环网，环网自愈时、间小于50毫秒，任意两个端口可用于组成自愈环网，并支持多个独立的自愈环。</w:t>
            </w:r>
          </w:p>
          <w:p w14:paraId="27E1A2E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4.支持802.1q VLAN、QINQ，4K VLAN表项、GVRP、Private VLAN、voice vlan。</w:t>
            </w:r>
          </w:p>
          <w:p w14:paraId="621A45D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5.支持STP、RSTP、MSTP，BPDU保护、根保护、环路保护，EAPS/ERPS以太网链路自动保护协议。</w:t>
            </w:r>
          </w:p>
          <w:p w14:paraId="596EAB1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6.支持三层静态路由，RipRipng/Ospf路由等。</w:t>
            </w:r>
          </w:p>
          <w:p w14:paraId="7F47232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7.支持DHCP Relay、DHCP SERVER/ Client、DHCP Snooping、DHCP option82等。</w:t>
            </w:r>
          </w:p>
          <w:p w14:paraId="40C5162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8.支持防DDoS攻击、TCP的SYN Flood攻击、UDP Flood攻击等，端口安全、端口隔离、IP+MAC+端口绑定、802.1x认证、radius、BDTacacs+认证。</w:t>
            </w:r>
          </w:p>
          <w:p w14:paraId="5B554BA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9.支持SNMP网管、云管平台、APP管理等。</w:t>
            </w:r>
          </w:p>
          <w:p w14:paraId="64BF8C9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10.支持-40~75℃工作温度。</w:t>
            </w:r>
          </w:p>
          <w:p w14:paraId="2121F480">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sz w:val="24"/>
                <w:szCs w:val="24"/>
                <w:u w:val="none"/>
                <w:lang w:eastAsia="zh-CN"/>
              </w:rPr>
            </w:pPr>
            <w:r>
              <w:rPr>
                <w:rFonts w:hint="default" w:ascii="Times New Roman" w:hAnsi="Times New Roman" w:eastAsia="宋体" w:cs="Times New Roman"/>
                <w:i w:val="0"/>
                <w:iCs w:val="0"/>
                <w:color w:val="000000"/>
                <w:kern w:val="0"/>
                <w:sz w:val="24"/>
                <w:szCs w:val="24"/>
                <w:u w:val="none"/>
                <w:lang w:val="en-US" w:eastAsia="zh-CN" w:bidi="ar"/>
              </w:rPr>
              <w:t>▲11.为避免空气中的粉尘、化学污染物带入设备内部造成腐蚀和静电累积，要求防护等级不低于IP40，</w:t>
            </w:r>
            <w:r>
              <w:rPr>
                <w:rFonts w:hint="default" w:ascii="Times New Roman" w:hAnsi="Times New Roman" w:eastAsia="宋体" w:cs="Times New Roman"/>
                <w:i w:val="0"/>
                <w:iCs w:val="0"/>
                <w:color w:val="000000"/>
                <w:sz w:val="24"/>
                <w:szCs w:val="24"/>
                <w:u w:val="none"/>
              </w:rPr>
              <w:t>（需提供具有</w:t>
            </w:r>
            <w:r>
              <w:rPr>
                <w:rFonts w:hint="default" w:ascii="Times New Roman" w:hAnsi="Times New Roman" w:eastAsia="宋体" w:cs="Times New Roman"/>
                <w:i w:val="0"/>
                <w:iCs w:val="0"/>
                <w:color w:val="000000"/>
                <w:sz w:val="24"/>
                <w:szCs w:val="24"/>
                <w:u w:val="none"/>
                <w:lang w:val="en-US" w:eastAsia="zh-CN"/>
              </w:rPr>
              <w:t>CHAS</w:t>
            </w:r>
            <w:r>
              <w:rPr>
                <w:rFonts w:hint="default" w:ascii="Times New Roman" w:hAnsi="Times New Roman" w:eastAsia="宋体" w:cs="Times New Roman"/>
                <w:i w:val="0"/>
                <w:iCs w:val="0"/>
                <w:color w:val="000000"/>
                <w:sz w:val="24"/>
                <w:szCs w:val="24"/>
                <w:u w:val="none"/>
              </w:rPr>
              <w:t>标识的检验报告证明）</w:t>
            </w:r>
            <w:r>
              <w:rPr>
                <w:rFonts w:hint="default" w:ascii="Times New Roman" w:hAnsi="Times New Roman" w:eastAsia="宋体" w:cs="Times New Roman"/>
                <w:i w:val="0"/>
                <w:iCs w:val="0"/>
                <w:color w:val="000000"/>
                <w:sz w:val="24"/>
                <w:szCs w:val="24"/>
                <w:u w:val="none"/>
                <w:lang w:eastAsia="zh-CN"/>
              </w:rPr>
              <w:t>。</w:t>
            </w:r>
          </w:p>
          <w:p w14:paraId="0D306426">
            <w:pPr>
              <w:keepNext w:val="0"/>
              <w:keepLines w:val="0"/>
              <w:widowControl/>
              <w:numPr>
                <w:ilvl w:val="0"/>
                <w:numId w:val="0"/>
              </w:numPr>
              <w:suppressLineNumbers w:val="0"/>
              <w:ind w:left="0" w:leftChars="0" w:firstLine="0" w:firstLineChars="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12.为确保设备外壳在遭受机械碰撞时能够保护内部设备不受损害，从而保证设备的安全性和可靠性，设备需支持IK05碰撞防护，</w:t>
            </w:r>
            <w:r>
              <w:rPr>
                <w:rFonts w:hint="default" w:ascii="Times New Roman" w:hAnsi="Times New Roman" w:eastAsia="宋体" w:cs="Times New Roman"/>
                <w:i w:val="0"/>
                <w:iCs w:val="0"/>
                <w:color w:val="000000"/>
                <w:sz w:val="24"/>
                <w:szCs w:val="24"/>
                <w:u w:val="none"/>
              </w:rPr>
              <w:t>（需提供具有CMA标识的检验报告证明</w:t>
            </w:r>
            <w:r>
              <w:rPr>
                <w:rFonts w:hint="default" w:ascii="Times New Roman" w:hAnsi="Times New Roman" w:eastAsia="宋体" w:cs="Times New Roman"/>
                <w:i w:val="0"/>
                <w:iCs w:val="0"/>
                <w:color w:val="000000"/>
                <w:kern w:val="0"/>
                <w:sz w:val="24"/>
                <w:szCs w:val="24"/>
                <w:u w:val="none"/>
                <w:lang w:val="en-US" w:eastAsia="zh-CN" w:bidi="ar"/>
              </w:rPr>
              <w:t>)。</w:t>
            </w:r>
          </w:p>
        </w:tc>
        <w:tc>
          <w:tcPr>
            <w:tcW w:w="349" w:type="pct"/>
            <w:noWrap w:val="0"/>
            <w:vAlign w:val="center"/>
          </w:tcPr>
          <w:p w14:paraId="6B7E63E9">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台</w:t>
            </w:r>
          </w:p>
        </w:tc>
        <w:tc>
          <w:tcPr>
            <w:tcW w:w="352" w:type="pct"/>
            <w:noWrap w:val="0"/>
            <w:vAlign w:val="center"/>
          </w:tcPr>
          <w:p w14:paraId="203B0E0B">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r>
      <w:tr w14:paraId="50F7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119C24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010" w:type="pct"/>
            <w:noWrap w:val="0"/>
            <w:vAlign w:val="center"/>
          </w:tcPr>
          <w:p w14:paraId="3FE55C76">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4G智能断路器</w:t>
            </w:r>
          </w:p>
        </w:tc>
        <w:tc>
          <w:tcPr>
            <w:tcW w:w="2873" w:type="pct"/>
            <w:noWrap w:val="0"/>
            <w:vAlign w:val="center"/>
          </w:tcPr>
          <w:p w14:paraId="66D7927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▲1.事件记录功能：对异常事件进行记录，并应能对异常事件记录进行查询</w:t>
            </w:r>
            <w:r>
              <w:rPr>
                <w:rFonts w:hint="default" w:ascii="Times New Roman" w:hAnsi="Times New Roman" w:eastAsia="宋体" w:cs="Times New Roman"/>
                <w:i w:val="0"/>
                <w:iCs w:val="0"/>
                <w:color w:val="000000"/>
                <w:sz w:val="24"/>
                <w:szCs w:val="24"/>
                <w:highlight w:val="none"/>
                <w:u w:val="none"/>
              </w:rPr>
              <w:t>（需提供具有CMA标识的检验报告证明</w:t>
            </w:r>
            <w:r>
              <w:rPr>
                <w:rFonts w:hint="default" w:ascii="Times New Roman" w:hAnsi="Times New Roman" w:eastAsia="宋体" w:cs="Times New Roman"/>
                <w:i w:val="0"/>
                <w:iCs w:val="0"/>
                <w:color w:val="000000"/>
                <w:kern w:val="0"/>
                <w:sz w:val="24"/>
                <w:szCs w:val="24"/>
                <w:highlight w:val="none"/>
                <w:u w:val="none"/>
                <w:lang w:val="en-US" w:eastAsia="zh-CN" w:bidi="ar"/>
              </w:rPr>
              <w:t>)。</w:t>
            </w:r>
          </w:p>
          <w:p w14:paraId="2129E89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2.额定工作电压：AC230V/50HZ，额定电流：32A/63A/100A，过温保护：60℃-100℃（步进1℃ )，短路分断能力：Ics =Icu=6000A，漏电保护动作时长：≤0.04S。</w:t>
            </w:r>
          </w:p>
          <w:p w14:paraId="5A1759F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3.产品防护等级：IP20。</w:t>
            </w:r>
          </w:p>
          <w:p w14:paraId="4C0DCF5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4.短路保护动作时长 ≤0.03S。</w:t>
            </w:r>
          </w:p>
          <w:p w14:paraId="2973A58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5.工作环境温：-40℃-70℃。</w:t>
            </w:r>
          </w:p>
          <w:p w14:paraId="0866054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▲6.浸水保护：设备浸水后，发出报警提醒</w:t>
            </w:r>
            <w:r>
              <w:rPr>
                <w:rFonts w:hint="default" w:ascii="Times New Roman" w:hAnsi="Times New Roman" w:eastAsia="宋体" w:cs="Times New Roman"/>
                <w:i w:val="0"/>
                <w:iCs w:val="0"/>
                <w:color w:val="000000"/>
                <w:sz w:val="24"/>
                <w:szCs w:val="24"/>
                <w:highlight w:val="none"/>
                <w:u w:val="none"/>
              </w:rPr>
              <w:t>（需提供具有CMA标识的检验报告证明</w:t>
            </w:r>
            <w:r>
              <w:rPr>
                <w:rFonts w:hint="eastAsia" w:eastAsia="宋体" w:cs="Times New Roman"/>
                <w:i w:val="0"/>
                <w:iCs w:val="0"/>
                <w:color w:val="000000"/>
                <w:kern w:val="0"/>
                <w:sz w:val="24"/>
                <w:szCs w:val="24"/>
                <w:highlight w:val="none"/>
                <w:u w:val="none"/>
                <w:lang w:val="en-US" w:eastAsia="zh-CN"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w:t>
            </w:r>
          </w:p>
          <w:p w14:paraId="5297D1A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7.漏电保护：当接入设备发生漏电情况时，设备报警或断电。</w:t>
            </w:r>
          </w:p>
          <w:p w14:paraId="01E3D61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8.参数调整功能：具有过压延时，欠压延时，过载电流，过载延时，过温延时进行调整。</w:t>
            </w:r>
          </w:p>
          <w:p w14:paraId="2CC18EE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9.欠压保护防浪涌：110V-200V（步进1V），过压保护防浪涌：250V-350V（步进1V）</w:t>
            </w:r>
          </w:p>
          <w:p w14:paraId="4D1A94D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电流整定调节：1A-100A（步进1A）。</w:t>
            </w:r>
          </w:p>
          <w:p w14:paraId="73D77375">
            <w:pPr>
              <w:keepNext w:val="0"/>
              <w:keepLines w:val="0"/>
              <w:widowControl/>
              <w:suppressLineNumbers w:val="0"/>
              <w:jc w:val="left"/>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10.通讯方式：RS-485，远程控制：4G/RS-485。</w:t>
            </w:r>
          </w:p>
        </w:tc>
        <w:tc>
          <w:tcPr>
            <w:tcW w:w="349" w:type="pct"/>
            <w:noWrap w:val="0"/>
            <w:vAlign w:val="center"/>
          </w:tcPr>
          <w:p w14:paraId="36843660">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项</w:t>
            </w:r>
          </w:p>
        </w:tc>
        <w:tc>
          <w:tcPr>
            <w:tcW w:w="352" w:type="pct"/>
            <w:noWrap w:val="0"/>
            <w:vAlign w:val="center"/>
          </w:tcPr>
          <w:p w14:paraId="67C167C7">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r>
      <w:tr w14:paraId="4281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316368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p w14:paraId="4DE2A7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010" w:type="pct"/>
            <w:noWrap w:val="0"/>
            <w:vAlign w:val="center"/>
          </w:tcPr>
          <w:p w14:paraId="2E58D3D0">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p>
          <w:p w14:paraId="37FE3E3A">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户外机柜</w:t>
            </w:r>
          </w:p>
        </w:tc>
        <w:tc>
          <w:tcPr>
            <w:tcW w:w="2873" w:type="pct"/>
            <w:noWrap w:val="0"/>
            <w:vAlign w:val="center"/>
          </w:tcPr>
          <w:p w14:paraId="1DAB37F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箱体规格1500*800*600，材料采用镀锌钢板，箱体厚度≥1.0mm，外表面喷塑，箱内配置制冷空调1台600W，并配备智能运维终端，智能运维终端具备以下功能：                                                         </w:t>
            </w:r>
          </w:p>
          <w:p w14:paraId="4825934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1.指示灯状态显示功能：支持通过指示灯对设备运行、网络、通讯、故障、输出状态进行显示。</w:t>
            </w:r>
          </w:p>
          <w:p w14:paraId="0ED2A972">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▲2.安全防护功能：支持外接箱门门磁检测传感器，能够在箱门异常开启时产生告警，防止恶意破坏箱体行为，最大程度保障箱体内资产和信息安全</w:t>
            </w:r>
            <w:r>
              <w:rPr>
                <w:rFonts w:hint="default" w:ascii="Times New Roman" w:hAnsi="Times New Roman" w:eastAsia="宋体" w:cs="Times New Roman"/>
                <w:i w:val="0"/>
                <w:iCs w:val="0"/>
                <w:color w:val="000000"/>
                <w:sz w:val="24"/>
                <w:szCs w:val="24"/>
                <w:highlight w:val="none"/>
                <w:u w:val="none"/>
              </w:rPr>
              <w:t>（需提供具有CMA标识的检验报告证明）</w:t>
            </w:r>
            <w:r>
              <w:rPr>
                <w:rFonts w:hint="default" w:ascii="Times New Roman" w:hAnsi="Times New Roman" w:eastAsia="宋体" w:cs="Times New Roman"/>
                <w:i w:val="0"/>
                <w:iCs w:val="0"/>
                <w:color w:val="000000"/>
                <w:sz w:val="24"/>
                <w:szCs w:val="24"/>
                <w:highlight w:val="none"/>
                <w:u w:val="none"/>
                <w:lang w:eastAsia="zh-CN"/>
              </w:rPr>
              <w:t>。</w:t>
            </w:r>
          </w:p>
          <w:p w14:paraId="1FB3A084">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▲3.当产品智能运维终端发生故障时，产品的电压输出端口仍可正常工作</w:t>
            </w:r>
            <w:r>
              <w:rPr>
                <w:rFonts w:hint="default" w:ascii="Times New Roman" w:hAnsi="Times New Roman" w:eastAsia="宋体" w:cs="Times New Roman"/>
                <w:i w:val="0"/>
                <w:iCs w:val="0"/>
                <w:color w:val="000000"/>
                <w:sz w:val="24"/>
                <w:szCs w:val="24"/>
                <w:highlight w:val="none"/>
                <w:u w:val="none"/>
              </w:rPr>
              <w:t>（需提供具有CMA标识的检验报告证明</w:t>
            </w:r>
            <w:r>
              <w:rPr>
                <w:rFonts w:hint="default" w:ascii="Times New Roman" w:hAnsi="Times New Roman" w:eastAsia="宋体" w:cs="Times New Roman"/>
                <w:i w:val="0"/>
                <w:iCs w:val="0"/>
                <w:color w:val="000000"/>
                <w:sz w:val="24"/>
                <w:szCs w:val="24"/>
                <w:highlight w:val="none"/>
                <w:u w:val="none"/>
                <w:lang w:eastAsia="zh-CN"/>
              </w:rPr>
              <w:t>）。</w:t>
            </w:r>
          </w:p>
          <w:p w14:paraId="53EA287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4.支持当智能运维终端死机时，具有看门狗自动复位功能</w:t>
            </w:r>
            <w:r>
              <w:rPr>
                <w:rFonts w:hint="default" w:ascii="Times New Roman" w:hAnsi="Times New Roman" w:eastAsia="宋体" w:cs="Times New Roman"/>
                <w:i w:val="0"/>
                <w:iCs w:val="0"/>
                <w:color w:val="000000"/>
                <w:sz w:val="24"/>
                <w:szCs w:val="24"/>
                <w:highlight w:val="none"/>
                <w:u w:val="none"/>
              </w:rPr>
              <w:t>（需提供具有CMA标识的检验报告证明</w:t>
            </w:r>
            <w:r>
              <w:rPr>
                <w:rFonts w:hint="default" w:ascii="Times New Roman" w:hAnsi="Times New Roman" w:eastAsia="宋体" w:cs="Times New Roman"/>
                <w:i w:val="0"/>
                <w:iCs w:val="0"/>
                <w:color w:val="000000"/>
                <w:sz w:val="24"/>
                <w:szCs w:val="24"/>
                <w:highlight w:val="none"/>
                <w:u w:val="none"/>
                <w:lang w:eastAsia="zh-CN"/>
              </w:rPr>
              <w:t>）</w:t>
            </w: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349" w:type="pct"/>
            <w:noWrap w:val="0"/>
            <w:vAlign w:val="center"/>
          </w:tcPr>
          <w:p w14:paraId="7CF4DFC0">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p>
          <w:p w14:paraId="4BFA6D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p w14:paraId="06FD072F">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个</w:t>
            </w:r>
          </w:p>
        </w:tc>
        <w:tc>
          <w:tcPr>
            <w:tcW w:w="352" w:type="pct"/>
            <w:noWrap w:val="0"/>
            <w:vAlign w:val="center"/>
          </w:tcPr>
          <w:p w14:paraId="78E880BF">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p>
          <w:p w14:paraId="55F066EE">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p>
          <w:p w14:paraId="5DA2E04A">
            <w:pPr>
              <w:keepNext w:val="0"/>
              <w:keepLines w:val="0"/>
              <w:widowControl/>
              <w:suppressLineNumbers w:val="0"/>
              <w:jc w:val="center"/>
              <w:textAlignment w:val="center"/>
              <w:rPr>
                <w:rFonts w:hint="default" w:ascii="Times New Roman" w:hAnsi="Times New Roman" w:eastAsia="宋体" w:cs="Times New Roman"/>
                <w:b/>
                <w:bCs w:val="0"/>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r>
      <w:tr w14:paraId="0BE5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5D7E4F68">
            <w:pPr>
              <w:keepNext w:val="0"/>
              <w:keepLines w:val="0"/>
              <w:widowControl/>
              <w:suppressLineNumbers w:val="0"/>
              <w:jc w:val="center"/>
              <w:textAlignment w:val="center"/>
              <w:rPr>
                <w:rFonts w:hint="default" w:ascii="Times New Roman" w:hAnsi="Times New Roman" w:eastAsia="宋体" w:cs="Times New Roman"/>
                <w:b w:val="0"/>
                <w:bCs/>
                <w:caps w:val="0"/>
                <w:color w:val="auto"/>
                <w:sz w:val="24"/>
                <w:szCs w:val="24"/>
                <w:highlight w:val="none"/>
                <w:vertAlign w:val="baseline"/>
                <w:lang w:val="en-US" w:eastAsia="zh-CN"/>
              </w:rPr>
            </w:pPr>
            <w:r>
              <w:rPr>
                <w:rFonts w:hint="default" w:ascii="Times New Roman" w:hAnsi="Times New Roman" w:eastAsia="宋体" w:cs="Times New Roman"/>
                <w:b w:val="0"/>
                <w:bCs/>
                <w:caps w:val="0"/>
                <w:color w:val="auto"/>
                <w:sz w:val="24"/>
                <w:szCs w:val="24"/>
                <w:highlight w:val="none"/>
                <w:vertAlign w:val="baseline"/>
                <w:lang w:val="en-US" w:eastAsia="zh-CN"/>
              </w:rPr>
              <w:t>18</w:t>
            </w:r>
          </w:p>
        </w:tc>
        <w:tc>
          <w:tcPr>
            <w:tcW w:w="1010" w:type="pct"/>
            <w:noWrap w:val="0"/>
            <w:vAlign w:val="center"/>
          </w:tcPr>
          <w:p w14:paraId="550E4106">
            <w:pPr>
              <w:keepNext w:val="0"/>
              <w:keepLines w:val="0"/>
              <w:widowControl/>
              <w:suppressLineNumbers w:val="0"/>
              <w:jc w:val="center"/>
              <w:textAlignment w:val="center"/>
              <w:rPr>
                <w:rFonts w:hint="default" w:ascii="Times New Roman" w:hAnsi="Times New Roman" w:eastAsia="宋体" w:cs="Times New Roman"/>
                <w:b w:val="0"/>
                <w:bCs/>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辅材</w:t>
            </w:r>
          </w:p>
        </w:tc>
        <w:tc>
          <w:tcPr>
            <w:tcW w:w="2873" w:type="pct"/>
            <w:noWrap w:val="0"/>
            <w:vAlign w:val="center"/>
          </w:tcPr>
          <w:p w14:paraId="2A0EA8D0">
            <w:pPr>
              <w:keepNext w:val="0"/>
              <w:keepLines w:val="0"/>
              <w:widowControl/>
              <w:suppressLineNumbers w:val="0"/>
              <w:jc w:val="left"/>
              <w:textAlignment w:val="center"/>
              <w:rPr>
                <w:rFonts w:hint="default" w:ascii="Times New Roman" w:hAnsi="Times New Roman" w:eastAsia="宋体" w:cs="Times New Roman"/>
                <w:b w:val="0"/>
                <w:bCs/>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包含镀锌钢管、金属软管、PE管、网线、信号线、电源线、机柜辅材等。</w:t>
            </w:r>
          </w:p>
        </w:tc>
        <w:tc>
          <w:tcPr>
            <w:tcW w:w="349" w:type="pct"/>
            <w:noWrap w:val="0"/>
            <w:vAlign w:val="center"/>
          </w:tcPr>
          <w:p w14:paraId="4EA8768C">
            <w:pPr>
              <w:keepNext w:val="0"/>
              <w:keepLines w:val="0"/>
              <w:widowControl/>
              <w:suppressLineNumbers w:val="0"/>
              <w:jc w:val="center"/>
              <w:textAlignment w:val="center"/>
              <w:rPr>
                <w:rFonts w:hint="default" w:ascii="Times New Roman" w:hAnsi="Times New Roman" w:eastAsia="宋体" w:cs="Times New Roman"/>
                <w:b w:val="0"/>
                <w:bCs/>
                <w:caps w:val="0"/>
                <w:color w:val="auto"/>
                <w:sz w:val="24"/>
                <w:szCs w:val="24"/>
                <w:highlight w:val="none"/>
                <w:vertAlign w:val="baseline"/>
                <w:lang w:val="en-US" w:eastAsia="zh-CN"/>
              </w:rPr>
            </w:pPr>
            <w:r>
              <w:rPr>
                <w:rFonts w:hint="default" w:ascii="Times New Roman" w:hAnsi="Times New Roman" w:eastAsia="宋体" w:cs="Times New Roman"/>
                <w:b w:val="0"/>
                <w:bCs/>
                <w:caps w:val="0"/>
                <w:color w:val="auto"/>
                <w:sz w:val="24"/>
                <w:szCs w:val="24"/>
                <w:highlight w:val="none"/>
                <w:vertAlign w:val="baseline"/>
                <w:lang w:val="en-US" w:eastAsia="zh-CN"/>
              </w:rPr>
              <w:t>项</w:t>
            </w:r>
          </w:p>
        </w:tc>
        <w:tc>
          <w:tcPr>
            <w:tcW w:w="352" w:type="pct"/>
            <w:noWrap w:val="0"/>
            <w:vAlign w:val="center"/>
          </w:tcPr>
          <w:p w14:paraId="62BCCF93">
            <w:pPr>
              <w:keepNext w:val="0"/>
              <w:keepLines w:val="0"/>
              <w:widowControl/>
              <w:suppressLineNumbers w:val="0"/>
              <w:jc w:val="center"/>
              <w:textAlignment w:val="center"/>
              <w:rPr>
                <w:rFonts w:hint="default" w:ascii="Times New Roman" w:hAnsi="Times New Roman" w:eastAsia="宋体" w:cs="Times New Roman"/>
                <w:b w:val="0"/>
                <w:bCs/>
                <w:caps w:val="0"/>
                <w:color w:val="auto"/>
                <w:sz w:val="24"/>
                <w:szCs w:val="24"/>
                <w:highlight w:val="none"/>
                <w:vertAlign w:val="baseline"/>
                <w:lang w:val="en-US" w:eastAsia="zh-CN"/>
              </w:rPr>
            </w:pPr>
            <w:r>
              <w:rPr>
                <w:rFonts w:hint="default" w:ascii="Times New Roman" w:hAnsi="Times New Roman" w:eastAsia="宋体" w:cs="Times New Roman"/>
                <w:b w:val="0"/>
                <w:bCs/>
                <w:caps w:val="0"/>
                <w:color w:val="auto"/>
                <w:sz w:val="24"/>
                <w:szCs w:val="24"/>
                <w:highlight w:val="none"/>
                <w:vertAlign w:val="baseline"/>
                <w:lang w:val="en-US" w:eastAsia="zh-CN"/>
              </w:rPr>
              <w:t>2</w:t>
            </w:r>
          </w:p>
        </w:tc>
      </w:tr>
      <w:tr w14:paraId="7634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00A79FCB">
            <w:pPr>
              <w:keepNext w:val="0"/>
              <w:keepLines w:val="0"/>
              <w:widowControl/>
              <w:suppressLineNumbers w:val="0"/>
              <w:jc w:val="center"/>
              <w:textAlignment w:val="center"/>
              <w:rPr>
                <w:rFonts w:hint="default" w:ascii="Times New Roman" w:hAnsi="Times New Roman" w:eastAsia="宋体" w:cs="Times New Roman"/>
                <w:b w:val="0"/>
                <w:bCs/>
                <w:caps w:val="0"/>
                <w:color w:val="auto"/>
                <w:sz w:val="24"/>
                <w:szCs w:val="24"/>
                <w:highlight w:val="none"/>
                <w:vertAlign w:val="baseline"/>
                <w:lang w:val="en-US" w:eastAsia="zh-CN"/>
              </w:rPr>
            </w:pPr>
            <w:r>
              <w:rPr>
                <w:rFonts w:hint="default" w:ascii="Times New Roman" w:hAnsi="Times New Roman" w:eastAsia="宋体" w:cs="Times New Roman"/>
                <w:b w:val="0"/>
                <w:bCs/>
                <w:caps w:val="0"/>
                <w:color w:val="auto"/>
                <w:sz w:val="24"/>
                <w:szCs w:val="24"/>
                <w:highlight w:val="none"/>
                <w:vertAlign w:val="baseline"/>
                <w:lang w:val="en-US" w:eastAsia="zh-CN"/>
              </w:rPr>
              <w:t>19</w:t>
            </w:r>
          </w:p>
        </w:tc>
        <w:tc>
          <w:tcPr>
            <w:tcW w:w="1010" w:type="pct"/>
            <w:noWrap w:val="0"/>
            <w:vAlign w:val="center"/>
          </w:tcPr>
          <w:p w14:paraId="5A075FC4">
            <w:pPr>
              <w:keepNext w:val="0"/>
              <w:keepLines w:val="0"/>
              <w:widowControl/>
              <w:suppressLineNumbers w:val="0"/>
              <w:jc w:val="center"/>
              <w:textAlignment w:val="center"/>
              <w:rPr>
                <w:rFonts w:hint="default" w:ascii="Times New Roman" w:hAnsi="Times New Roman" w:eastAsia="宋体" w:cs="Times New Roman"/>
                <w:b w:val="0"/>
                <w:bCs/>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系统安装调试与数据接口</w:t>
            </w:r>
          </w:p>
        </w:tc>
        <w:tc>
          <w:tcPr>
            <w:tcW w:w="2873" w:type="pct"/>
            <w:noWrap w:val="0"/>
            <w:vAlign w:val="center"/>
          </w:tcPr>
          <w:p w14:paraId="571D4871">
            <w:pPr>
              <w:keepNext w:val="0"/>
              <w:keepLines w:val="0"/>
              <w:widowControl/>
              <w:suppressLineNumbers w:val="0"/>
              <w:jc w:val="left"/>
              <w:textAlignment w:val="center"/>
              <w:rPr>
                <w:rFonts w:hint="default" w:ascii="Times New Roman" w:hAnsi="Times New Roman" w:eastAsia="宋体" w:cs="Times New Roman"/>
                <w:b w:val="0"/>
                <w:bCs/>
                <w:caps w:val="0"/>
                <w:color w:val="auto"/>
                <w:sz w:val="24"/>
                <w:szCs w:val="24"/>
                <w:highlight w:val="none"/>
                <w:vertAlign w:val="baseli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包含设备的安装、调试及数据接入监测平台。</w:t>
            </w:r>
          </w:p>
        </w:tc>
        <w:tc>
          <w:tcPr>
            <w:tcW w:w="349" w:type="pct"/>
            <w:noWrap w:val="0"/>
            <w:vAlign w:val="center"/>
          </w:tcPr>
          <w:p w14:paraId="754E46C3">
            <w:pPr>
              <w:keepNext w:val="0"/>
              <w:keepLines w:val="0"/>
              <w:widowControl/>
              <w:suppressLineNumbers w:val="0"/>
              <w:jc w:val="center"/>
              <w:textAlignment w:val="center"/>
              <w:rPr>
                <w:rFonts w:hint="default" w:ascii="Times New Roman" w:hAnsi="Times New Roman" w:eastAsia="宋体" w:cs="Times New Roman"/>
                <w:b w:val="0"/>
                <w:bCs/>
                <w:caps w:val="0"/>
                <w:color w:val="auto"/>
                <w:sz w:val="24"/>
                <w:szCs w:val="24"/>
                <w:highlight w:val="none"/>
                <w:vertAlign w:val="baseline"/>
                <w:lang w:val="en-US" w:eastAsia="zh-CN"/>
              </w:rPr>
            </w:pPr>
            <w:r>
              <w:rPr>
                <w:rFonts w:hint="default" w:ascii="Times New Roman" w:hAnsi="Times New Roman" w:eastAsia="宋体" w:cs="Times New Roman"/>
                <w:b w:val="0"/>
                <w:bCs/>
                <w:caps w:val="0"/>
                <w:color w:val="auto"/>
                <w:sz w:val="24"/>
                <w:szCs w:val="24"/>
                <w:highlight w:val="none"/>
                <w:vertAlign w:val="baseline"/>
                <w:lang w:val="en-US" w:eastAsia="zh-CN"/>
              </w:rPr>
              <w:t>项</w:t>
            </w:r>
          </w:p>
        </w:tc>
        <w:tc>
          <w:tcPr>
            <w:tcW w:w="352" w:type="pct"/>
            <w:noWrap w:val="0"/>
            <w:vAlign w:val="center"/>
          </w:tcPr>
          <w:p w14:paraId="785F8A58">
            <w:pPr>
              <w:keepNext w:val="0"/>
              <w:keepLines w:val="0"/>
              <w:widowControl/>
              <w:suppressLineNumbers w:val="0"/>
              <w:jc w:val="center"/>
              <w:textAlignment w:val="center"/>
              <w:rPr>
                <w:rFonts w:hint="default" w:ascii="Times New Roman" w:hAnsi="Times New Roman" w:eastAsia="宋体" w:cs="Times New Roman"/>
                <w:b w:val="0"/>
                <w:bCs/>
                <w:caps w:val="0"/>
                <w:color w:val="auto"/>
                <w:sz w:val="24"/>
                <w:szCs w:val="24"/>
                <w:highlight w:val="none"/>
                <w:vertAlign w:val="baseline"/>
                <w:lang w:val="en-US" w:eastAsia="zh-CN"/>
              </w:rPr>
            </w:pPr>
            <w:r>
              <w:rPr>
                <w:rFonts w:hint="default" w:ascii="Times New Roman" w:hAnsi="Times New Roman" w:eastAsia="宋体" w:cs="Times New Roman"/>
                <w:b w:val="0"/>
                <w:bCs/>
                <w:caps w:val="0"/>
                <w:color w:val="auto"/>
                <w:sz w:val="24"/>
                <w:szCs w:val="24"/>
                <w:highlight w:val="none"/>
                <w:vertAlign w:val="baseline"/>
                <w:lang w:val="en-US" w:eastAsia="zh-CN"/>
              </w:rPr>
              <w:t>2</w:t>
            </w:r>
          </w:p>
        </w:tc>
      </w:tr>
    </w:tbl>
    <w:p w14:paraId="205DBFEB">
      <w:pPr>
        <w:keepNext w:val="0"/>
        <w:keepLines w:val="0"/>
        <w:pageBreakBefore w:val="0"/>
        <w:widowControl w:val="0"/>
        <w:spacing w:line="560" w:lineRule="exact"/>
        <w:rPr>
          <w:rStyle w:val="9"/>
          <w:rFonts w:hint="eastAsia" w:ascii="宋体" w:hAnsi="宋体" w:eastAsia="宋体" w:cs="宋体"/>
          <w:color w:val="auto"/>
          <w:sz w:val="24"/>
          <w:szCs w:val="24"/>
          <w:highlight w:val="none"/>
          <w:lang w:val="en-US" w:eastAsia="zh-CN" w:bidi="ar-SA"/>
        </w:rPr>
      </w:pPr>
      <w:r>
        <w:rPr>
          <w:rFonts w:hint="eastAsia" w:ascii="宋体" w:hAnsi="宋体" w:eastAsia="宋体" w:cs="宋体"/>
          <w:bCs/>
          <w:caps w:val="0"/>
          <w:color w:val="auto"/>
          <w:sz w:val="24"/>
          <w:highlight w:val="none"/>
          <w:lang w:val="en-US" w:eastAsia="zh-CN"/>
        </w:rPr>
        <w:t>注：1、</w:t>
      </w:r>
      <w:r>
        <w:rPr>
          <w:rFonts w:hint="eastAsia" w:ascii="宋体" w:hAnsi="宋体" w:eastAsia="宋体" w:cs="宋体"/>
          <w:bCs/>
          <w:caps w:val="0"/>
          <w:color w:val="auto"/>
          <w:sz w:val="24"/>
          <w:highlight w:val="none"/>
          <w:lang w:val="zh-CN"/>
        </w:rPr>
        <w:t>当采购数量与实际使用数量不一致时，乙方应根据实际使用量供货，合同的最终结算金额按实际使用量乘以成交单价进行计算。</w:t>
      </w:r>
    </w:p>
    <w:p w14:paraId="0A57A7F3">
      <w:pPr>
        <w:pStyle w:val="7"/>
        <w:keepNext w:val="0"/>
        <w:keepLines w:val="0"/>
        <w:pageBreakBefore w:val="0"/>
        <w:numPr>
          <w:ilvl w:val="0"/>
          <w:numId w:val="0"/>
        </w:numPr>
        <w:spacing w:line="360" w:lineRule="auto"/>
        <w:jc w:val="left"/>
        <w:rPr>
          <w:rStyle w:val="9"/>
          <w:rFonts w:hint="eastAsia" w:ascii="宋体" w:hAnsi="宋体" w:eastAsia="宋体" w:cs="宋体"/>
          <w:b/>
          <w:bCs/>
          <w:color w:val="auto"/>
          <w:sz w:val="28"/>
          <w:szCs w:val="28"/>
          <w:highlight w:val="none"/>
          <w:lang w:val="en-US" w:eastAsia="zh-CN" w:bidi="ar-SA"/>
        </w:rPr>
      </w:pPr>
      <w:r>
        <w:rPr>
          <w:rStyle w:val="9"/>
          <w:rFonts w:hint="eastAsia" w:ascii="宋体" w:hAnsi="宋体" w:eastAsia="宋体" w:cs="宋体"/>
          <w:b/>
          <w:bCs/>
          <w:color w:val="auto"/>
          <w:sz w:val="28"/>
          <w:szCs w:val="28"/>
          <w:highlight w:val="none"/>
          <w:lang w:val="en-US" w:eastAsia="zh-CN" w:bidi="ar-SA"/>
        </w:rPr>
        <w:t>三、实施要求</w:t>
      </w:r>
    </w:p>
    <w:p w14:paraId="1469413E">
      <w:pPr>
        <w:pStyle w:val="15"/>
        <w:keepNext w:val="0"/>
        <w:keepLines w:val="0"/>
        <w:pageBreakBefore w:val="0"/>
        <w:spacing w:line="360" w:lineRule="auto"/>
        <w:ind w:firstLine="480"/>
        <w:rPr>
          <w:rStyle w:val="9"/>
          <w:rFonts w:hint="eastAsia" w:ascii="宋体" w:hAnsi="宋体" w:eastAsia="宋体" w:cs="宋体"/>
          <w:color w:val="auto"/>
          <w:sz w:val="24"/>
          <w:highlight w:val="none"/>
          <w:lang w:val="en-US" w:eastAsia="zh-CN" w:bidi="ar-SA"/>
        </w:rPr>
      </w:pPr>
      <w:r>
        <w:rPr>
          <w:rStyle w:val="9"/>
          <w:rFonts w:hint="eastAsia" w:ascii="宋体" w:hAnsi="宋体" w:eastAsia="宋体" w:cs="宋体"/>
          <w:color w:val="auto"/>
          <w:sz w:val="24"/>
          <w:highlight w:val="none"/>
          <w:lang w:val="en-US" w:eastAsia="zh-CN" w:bidi="ar-SA"/>
        </w:rPr>
        <w:t>1.供应商应对采购、安装现场进行详细的踏勘，了解货物安装的具体位置，货物安装的具体范围、拆除加固工作是否完成、设备装卸的行进路线、运输、储存空间、装卸限制、垃圾清理外运及一切可能影响到正常货物安装的因素，其涉及的一切费用含在合同价中。</w:t>
      </w:r>
    </w:p>
    <w:p w14:paraId="224D9032">
      <w:pPr>
        <w:pStyle w:val="8"/>
        <w:ind w:firstLine="480"/>
        <w:rPr>
          <w:rStyle w:val="9"/>
          <w:rFonts w:hint="eastAsia" w:ascii="宋体" w:hAnsi="宋体" w:eastAsia="宋体" w:cs="宋体"/>
          <w:color w:val="auto"/>
          <w:sz w:val="24"/>
          <w:highlight w:val="none"/>
          <w:lang w:val="en-US" w:eastAsia="zh-CN" w:bidi="ar-SA"/>
        </w:rPr>
      </w:pPr>
      <w:r>
        <w:rPr>
          <w:rStyle w:val="9"/>
          <w:rFonts w:hint="eastAsia" w:ascii="宋体" w:hAnsi="宋体" w:eastAsia="宋体" w:cs="宋体"/>
          <w:color w:val="auto"/>
          <w:sz w:val="24"/>
          <w:highlight w:val="none"/>
          <w:lang w:val="en-US" w:eastAsia="zh-CN" w:bidi="ar-SA"/>
        </w:rPr>
        <w:t>2.采购人不统一组织勘探现场，供应商自行勘探并了解相关情况，根据现场现有条件改造。开槽、打孔、布管布线、修复等相关施工费用均包含在报价中，后期不应此增项。供应商自行负责软硬件安装并与其他系统兼容。</w:t>
      </w:r>
    </w:p>
    <w:p w14:paraId="04C28475">
      <w:pPr>
        <w:pStyle w:val="8"/>
        <w:ind w:firstLine="480"/>
        <w:rPr>
          <w:rStyle w:val="9"/>
          <w:rFonts w:hint="eastAsia" w:ascii="宋体" w:hAnsi="宋体" w:eastAsia="宋体" w:cs="宋体"/>
          <w:color w:val="auto"/>
          <w:sz w:val="24"/>
          <w:highlight w:val="none"/>
          <w:lang w:val="en-US" w:eastAsia="zh-CN" w:bidi="ar-SA"/>
        </w:rPr>
      </w:pPr>
      <w:r>
        <w:rPr>
          <w:rStyle w:val="9"/>
          <w:rFonts w:hint="eastAsia" w:ascii="宋体" w:hAnsi="宋体" w:eastAsia="宋体" w:cs="宋体"/>
          <w:color w:val="auto"/>
          <w:sz w:val="24"/>
          <w:highlight w:val="none"/>
          <w:lang w:val="en-US" w:eastAsia="zh-CN" w:bidi="ar-SA"/>
        </w:rPr>
        <w:t>3.该项目所投产品必须能够实现</w:t>
      </w:r>
      <w:bookmarkStart w:id="8" w:name="OLE_LINK1"/>
      <w:r>
        <w:rPr>
          <w:rStyle w:val="9"/>
          <w:rFonts w:hint="eastAsia" w:ascii="宋体" w:hAnsi="宋体" w:eastAsia="宋体" w:cs="宋体"/>
          <w:color w:val="auto"/>
          <w:sz w:val="24"/>
          <w:highlight w:val="none"/>
          <w:lang w:val="en-US" w:eastAsia="zh-CN" w:bidi="ar-SA"/>
        </w:rPr>
        <w:t>软件与硬件解耦</w:t>
      </w:r>
      <w:bookmarkEnd w:id="8"/>
      <w:r>
        <w:rPr>
          <w:rStyle w:val="9"/>
          <w:rFonts w:hint="eastAsia" w:ascii="宋体" w:hAnsi="宋体" w:eastAsia="宋体" w:cs="宋体"/>
          <w:color w:val="auto"/>
          <w:sz w:val="24"/>
          <w:highlight w:val="none"/>
          <w:lang w:val="en-US" w:eastAsia="zh-CN" w:bidi="ar-SA"/>
        </w:rPr>
        <w:t>，数据与应用解耦，硬件以通用为主，软件以开源为主。</w:t>
      </w:r>
    </w:p>
    <w:p w14:paraId="67CE89BF">
      <w:pPr>
        <w:pBdr>
          <w:top w:val="none" w:color="000000" w:sz="0" w:space="0"/>
          <w:left w:val="none" w:color="000000" w:sz="0" w:space="0"/>
          <w:bottom w:val="none" w:color="000000" w:sz="0" w:space="0"/>
          <w:right w:val="none" w:color="000000" w:sz="0" w:space="0"/>
        </w:pBdr>
        <w:spacing w:line="85" w:lineRule="atLeast"/>
        <w:ind w:firstLine="422"/>
        <w:rPr>
          <w:rStyle w:val="9"/>
          <w:rFonts w:hint="eastAsia" w:ascii="宋体" w:hAnsi="宋体" w:eastAsia="宋体" w:cs="宋体"/>
          <w:color w:val="auto"/>
          <w:sz w:val="24"/>
          <w:szCs w:val="20"/>
          <w:highlight w:val="none"/>
          <w:lang w:val="en-US" w:eastAsia="zh-CN" w:bidi="ar-SA"/>
        </w:rPr>
      </w:pPr>
      <w:r>
        <w:rPr>
          <w:rStyle w:val="9"/>
          <w:rFonts w:hint="eastAsia" w:ascii="宋体" w:hAnsi="宋体" w:eastAsia="宋体" w:cs="宋体"/>
          <w:color w:val="auto"/>
          <w:sz w:val="24"/>
          <w:szCs w:val="20"/>
          <w:highlight w:val="none"/>
          <w:lang w:val="en-US" w:eastAsia="zh-CN" w:bidi="ar-SA"/>
        </w:rPr>
        <w:t>4.安全保障</w:t>
      </w:r>
    </w:p>
    <w:p w14:paraId="7BCF8534">
      <w:pPr>
        <w:pBdr>
          <w:top w:val="none" w:color="000000" w:sz="0" w:space="0"/>
          <w:left w:val="none" w:color="000000" w:sz="0" w:space="0"/>
          <w:bottom w:val="none" w:color="000000" w:sz="0" w:space="0"/>
          <w:right w:val="none" w:color="000000" w:sz="0" w:space="0"/>
        </w:pBdr>
        <w:spacing w:line="439" w:lineRule="atLeast"/>
        <w:ind w:firstLine="420"/>
        <w:rPr>
          <w:rStyle w:val="9"/>
          <w:rFonts w:hint="eastAsia" w:ascii="宋体" w:hAnsi="宋体" w:eastAsia="宋体" w:cs="宋体"/>
          <w:color w:val="auto"/>
          <w:sz w:val="24"/>
          <w:szCs w:val="20"/>
          <w:highlight w:val="none"/>
          <w:lang w:val="en-US" w:eastAsia="zh-CN" w:bidi="ar-SA"/>
        </w:rPr>
      </w:pPr>
      <w:r>
        <w:rPr>
          <w:rStyle w:val="9"/>
          <w:rFonts w:hint="eastAsia" w:ascii="宋体" w:hAnsi="宋体" w:eastAsia="宋体" w:cs="宋体"/>
          <w:color w:val="auto"/>
          <w:sz w:val="24"/>
          <w:szCs w:val="20"/>
          <w:highlight w:val="none"/>
          <w:lang w:val="en-US" w:eastAsia="zh-CN" w:bidi="ar-SA"/>
        </w:rPr>
        <w:t>4.1满足项目功能安全需求。</w:t>
      </w:r>
    </w:p>
    <w:p w14:paraId="5A42CC1E">
      <w:pPr>
        <w:pBdr>
          <w:top w:val="none" w:color="000000" w:sz="0" w:space="0"/>
          <w:left w:val="none" w:color="000000" w:sz="0" w:space="0"/>
          <w:bottom w:val="none" w:color="000000" w:sz="0" w:space="0"/>
          <w:right w:val="none" w:color="000000" w:sz="0" w:space="0"/>
        </w:pBdr>
        <w:spacing w:line="439" w:lineRule="atLeast"/>
        <w:ind w:firstLine="420"/>
        <w:rPr>
          <w:rStyle w:val="9"/>
          <w:rFonts w:hint="eastAsia" w:ascii="宋体" w:hAnsi="宋体" w:eastAsia="宋体" w:cs="宋体"/>
          <w:color w:val="auto"/>
          <w:sz w:val="24"/>
          <w:szCs w:val="20"/>
          <w:highlight w:val="none"/>
          <w:lang w:val="en-US" w:eastAsia="zh-CN" w:bidi="ar-SA"/>
        </w:rPr>
      </w:pPr>
      <w:r>
        <w:rPr>
          <w:rStyle w:val="9"/>
          <w:rFonts w:hint="eastAsia" w:ascii="宋体" w:hAnsi="宋体" w:eastAsia="宋体" w:cs="宋体"/>
          <w:color w:val="auto"/>
          <w:sz w:val="24"/>
          <w:szCs w:val="20"/>
          <w:highlight w:val="none"/>
          <w:lang w:val="en-US" w:eastAsia="zh-CN" w:bidi="ar-SA"/>
        </w:rPr>
        <w:t>4.2中标人在项目建设过程、售后服务期中要注意安全，因此造成的一切安全事故均由中标人自行承担。</w:t>
      </w:r>
    </w:p>
    <w:p w14:paraId="1C54E0E4">
      <w:pPr>
        <w:pBdr>
          <w:top w:val="none" w:color="000000" w:sz="0" w:space="0"/>
          <w:left w:val="none" w:color="000000" w:sz="0" w:space="0"/>
          <w:bottom w:val="none" w:color="000000" w:sz="0" w:space="0"/>
          <w:right w:val="none" w:color="000000" w:sz="0" w:space="0"/>
        </w:pBdr>
        <w:spacing w:line="439" w:lineRule="atLeast"/>
        <w:ind w:firstLine="420"/>
        <w:rPr>
          <w:rStyle w:val="9"/>
          <w:rFonts w:hint="eastAsia" w:ascii="宋体" w:hAnsi="宋体" w:eastAsia="宋体" w:cs="宋体"/>
          <w:color w:val="auto"/>
          <w:sz w:val="24"/>
          <w:szCs w:val="20"/>
          <w:highlight w:val="none"/>
          <w:lang w:val="en-US" w:eastAsia="zh-CN" w:bidi="ar-SA"/>
        </w:rPr>
      </w:pPr>
      <w:r>
        <w:rPr>
          <w:rStyle w:val="9"/>
          <w:rFonts w:hint="eastAsia" w:ascii="宋体" w:hAnsi="宋体" w:eastAsia="宋体" w:cs="宋体"/>
          <w:color w:val="auto"/>
          <w:sz w:val="24"/>
          <w:szCs w:val="20"/>
          <w:highlight w:val="none"/>
          <w:lang w:val="en-US" w:eastAsia="zh-CN" w:bidi="ar-SA"/>
        </w:rPr>
        <w:t>4.3中标人在项目建设过程、售后服务期涉及中标单位自有人员保险等费用，中标单位自负。</w:t>
      </w:r>
    </w:p>
    <w:p w14:paraId="21C26F2C">
      <w:pPr>
        <w:pBdr>
          <w:top w:val="none" w:color="000000" w:sz="0" w:space="0"/>
          <w:left w:val="none" w:color="000000" w:sz="0" w:space="0"/>
          <w:bottom w:val="none" w:color="000000" w:sz="0" w:space="0"/>
          <w:right w:val="none" w:color="000000" w:sz="0" w:space="0"/>
        </w:pBdr>
        <w:spacing w:line="439" w:lineRule="atLeast"/>
        <w:ind w:firstLine="420"/>
        <w:rPr>
          <w:rStyle w:val="9"/>
          <w:rFonts w:hint="eastAsia" w:ascii="宋体" w:hAnsi="宋体" w:eastAsia="宋体" w:cs="宋体"/>
          <w:color w:val="auto"/>
          <w:sz w:val="24"/>
          <w:szCs w:val="20"/>
          <w:highlight w:val="none"/>
          <w:lang w:val="en-US" w:eastAsia="zh-CN" w:bidi="ar-SA"/>
        </w:rPr>
      </w:pPr>
      <w:r>
        <w:rPr>
          <w:rStyle w:val="9"/>
          <w:rFonts w:hint="eastAsia" w:ascii="宋体" w:hAnsi="宋体" w:eastAsia="宋体" w:cs="宋体"/>
          <w:color w:val="auto"/>
          <w:sz w:val="24"/>
          <w:szCs w:val="20"/>
          <w:highlight w:val="none"/>
          <w:lang w:val="en-US" w:eastAsia="zh-CN" w:bidi="ar-SA"/>
        </w:rPr>
        <w:t>4.5严禁违反“保密协议”的相关规定：</w:t>
      </w:r>
    </w:p>
    <w:p w14:paraId="2A96941C">
      <w:pPr>
        <w:pBdr>
          <w:top w:val="none" w:color="000000" w:sz="0" w:space="0"/>
          <w:left w:val="none" w:color="000000" w:sz="0" w:space="0"/>
          <w:bottom w:val="none" w:color="000000" w:sz="0" w:space="0"/>
          <w:right w:val="none" w:color="000000" w:sz="0" w:space="0"/>
        </w:pBdr>
        <w:spacing w:line="439" w:lineRule="atLeast"/>
        <w:ind w:firstLine="420"/>
        <w:rPr>
          <w:rStyle w:val="9"/>
          <w:rFonts w:hint="eastAsia" w:ascii="宋体" w:hAnsi="宋体" w:eastAsia="宋体" w:cs="宋体"/>
          <w:color w:val="auto"/>
          <w:sz w:val="24"/>
          <w:szCs w:val="20"/>
          <w:highlight w:val="none"/>
          <w:lang w:val="en-US" w:eastAsia="zh-CN" w:bidi="ar-SA"/>
        </w:rPr>
      </w:pPr>
      <w:r>
        <w:rPr>
          <w:rStyle w:val="9"/>
          <w:rFonts w:hint="eastAsia" w:ascii="宋体" w:hAnsi="宋体" w:eastAsia="宋体" w:cs="宋体"/>
          <w:color w:val="auto"/>
          <w:sz w:val="24"/>
          <w:szCs w:val="20"/>
          <w:highlight w:val="none"/>
          <w:lang w:val="en-US" w:eastAsia="zh-CN" w:bidi="ar-SA"/>
        </w:rPr>
        <w:t>不得擅自保留或外传涉及本项目的合同、文档、方案、图纸（包括复印件、电子文档）等资料；</w:t>
      </w:r>
    </w:p>
    <w:p w14:paraId="159BCBF6">
      <w:pPr>
        <w:pBdr>
          <w:top w:val="none" w:color="000000" w:sz="0" w:space="0"/>
          <w:left w:val="none" w:color="000000" w:sz="0" w:space="0"/>
          <w:bottom w:val="none" w:color="000000" w:sz="0" w:space="0"/>
          <w:right w:val="none" w:color="000000" w:sz="0" w:space="0"/>
        </w:pBdr>
        <w:spacing w:line="439" w:lineRule="atLeast"/>
        <w:ind w:firstLine="420"/>
        <w:rPr>
          <w:rStyle w:val="9"/>
          <w:rFonts w:hint="eastAsia" w:ascii="宋体" w:hAnsi="宋体" w:eastAsia="宋体" w:cs="宋体"/>
          <w:color w:val="auto"/>
          <w:sz w:val="24"/>
          <w:szCs w:val="20"/>
          <w:highlight w:val="none"/>
          <w:lang w:val="en-US" w:eastAsia="zh-CN" w:bidi="ar-SA"/>
        </w:rPr>
      </w:pPr>
      <w:r>
        <w:rPr>
          <w:rStyle w:val="9"/>
          <w:rFonts w:hint="eastAsia" w:ascii="宋体" w:hAnsi="宋体" w:eastAsia="宋体" w:cs="宋体"/>
          <w:color w:val="auto"/>
          <w:sz w:val="24"/>
          <w:szCs w:val="20"/>
          <w:highlight w:val="none"/>
          <w:lang w:val="en-US" w:eastAsia="zh-CN" w:bidi="ar-SA"/>
        </w:rPr>
        <w:t>未经采购人书面许可，不得将涉及本项目的任何资料透露或以其他方式提供给协议以外的其他方或中标人内部与本协议无关的任何人员，不得对保密信息进行拷贝或抄写；</w:t>
      </w:r>
    </w:p>
    <w:p w14:paraId="69903C1B">
      <w:pPr>
        <w:pBdr>
          <w:top w:val="none" w:color="000000" w:sz="0" w:space="0"/>
          <w:left w:val="none" w:color="000000" w:sz="0" w:space="0"/>
          <w:bottom w:val="none" w:color="000000" w:sz="0" w:space="0"/>
          <w:right w:val="none" w:color="000000" w:sz="0" w:space="0"/>
        </w:pBdr>
        <w:spacing w:line="439" w:lineRule="atLeast"/>
        <w:ind w:firstLine="420"/>
        <w:rPr>
          <w:rStyle w:val="9"/>
          <w:rFonts w:hint="eastAsia" w:ascii="宋体" w:hAnsi="宋体" w:eastAsia="宋体" w:cs="宋体"/>
          <w:color w:val="auto"/>
          <w:sz w:val="24"/>
          <w:szCs w:val="20"/>
          <w:highlight w:val="none"/>
          <w:lang w:val="en-US" w:eastAsia="zh-CN" w:bidi="ar-SA"/>
        </w:rPr>
      </w:pPr>
      <w:r>
        <w:rPr>
          <w:rStyle w:val="9"/>
          <w:rFonts w:hint="eastAsia" w:ascii="宋体" w:hAnsi="宋体" w:eastAsia="宋体" w:cs="宋体"/>
          <w:color w:val="auto"/>
          <w:sz w:val="24"/>
          <w:szCs w:val="20"/>
          <w:highlight w:val="none"/>
          <w:lang w:val="en-US" w:eastAsia="zh-CN" w:bidi="ar-SA"/>
        </w:rPr>
        <w:t>未经采购人许可，不得使用、转让或处理系统中的声音、图像和数据等信息，且不得向除采购人以外的任何单位和个人提供设备和项目中保存的有关信息。</w:t>
      </w:r>
    </w:p>
    <w:p w14:paraId="57741C7A">
      <w:pPr>
        <w:pBdr>
          <w:top w:val="none" w:color="000000" w:sz="0" w:space="0"/>
          <w:left w:val="none" w:color="000000" w:sz="0" w:space="0"/>
          <w:bottom w:val="none" w:color="000000" w:sz="0" w:space="0"/>
          <w:right w:val="none" w:color="000000" w:sz="0" w:space="0"/>
        </w:pBdr>
        <w:spacing w:line="439" w:lineRule="atLeast"/>
        <w:ind w:firstLine="420"/>
        <w:rPr>
          <w:rStyle w:val="9"/>
          <w:rFonts w:hint="eastAsia" w:ascii="宋体" w:hAnsi="宋体" w:eastAsia="宋体" w:cs="宋体"/>
          <w:b/>
          <w:bCs/>
          <w:color w:val="auto"/>
          <w:sz w:val="28"/>
          <w:szCs w:val="28"/>
          <w:highlight w:val="none"/>
          <w:lang w:val="en-US" w:eastAsia="zh-CN" w:bidi="ar-SA"/>
        </w:rPr>
      </w:pPr>
      <w:r>
        <w:rPr>
          <w:rStyle w:val="9"/>
          <w:rFonts w:hint="eastAsia" w:ascii="宋体" w:hAnsi="宋体" w:eastAsia="宋体" w:cs="宋体"/>
          <w:color w:val="auto"/>
          <w:sz w:val="24"/>
          <w:szCs w:val="20"/>
          <w:highlight w:val="none"/>
          <w:lang w:val="en-US" w:eastAsia="zh-CN" w:bidi="ar-SA"/>
        </w:rPr>
        <w:t>4.6严禁发生其他违反法律法规、行政规章制度的行为。</w:t>
      </w:r>
    </w:p>
    <w:p w14:paraId="18A0C9D1">
      <w:pPr>
        <w:pStyle w:val="8"/>
        <w:pageBreakBefore w:val="0"/>
        <w:widowControl/>
        <w:jc w:val="left"/>
        <w:rPr>
          <w:rStyle w:val="9"/>
          <w:rFonts w:hint="eastAsia" w:ascii="宋体" w:hAnsi="宋体" w:eastAsia="宋体" w:cs="宋体"/>
          <w:color w:val="auto"/>
          <w:sz w:val="24"/>
          <w:szCs w:val="24"/>
          <w:highlight w:val="none"/>
          <w:lang w:val="en-US" w:eastAsia="zh-CN" w:bidi="ar-SA"/>
        </w:rPr>
      </w:pPr>
      <w:r>
        <w:rPr>
          <w:rStyle w:val="9"/>
          <w:rFonts w:hint="eastAsia" w:ascii="宋体" w:hAnsi="宋体" w:eastAsia="宋体" w:cs="宋体"/>
          <w:b/>
          <w:bCs/>
          <w:color w:val="auto"/>
          <w:sz w:val="28"/>
          <w:szCs w:val="28"/>
          <w:highlight w:val="none"/>
          <w:lang w:val="en-US" w:eastAsia="zh-CN" w:bidi="ar-SA"/>
        </w:rPr>
        <w:t>四、供货要求</w:t>
      </w:r>
    </w:p>
    <w:p w14:paraId="6CB7CAC7">
      <w:pPr>
        <w:pBdr>
          <w:top w:val="none" w:color="000000" w:sz="0" w:space="0"/>
          <w:left w:val="none" w:color="000000" w:sz="0" w:space="0"/>
          <w:bottom w:val="none" w:color="000000" w:sz="0" w:space="0"/>
          <w:right w:val="none" w:color="000000" w:sz="0" w:space="0"/>
        </w:pBdr>
        <w:spacing w:line="439" w:lineRule="atLeast"/>
        <w:ind w:firstLine="420"/>
        <w:rPr>
          <w:rStyle w:val="9"/>
          <w:rFonts w:hint="eastAsia" w:ascii="宋体" w:hAnsi="宋体" w:eastAsia="宋体" w:cs="宋体"/>
          <w:color w:val="auto"/>
          <w:sz w:val="24"/>
          <w:szCs w:val="20"/>
          <w:highlight w:val="none"/>
          <w:lang w:val="en-US" w:eastAsia="zh-CN" w:bidi="ar-SA"/>
        </w:rPr>
      </w:pPr>
      <w:r>
        <w:rPr>
          <w:rStyle w:val="9"/>
          <w:rFonts w:hint="eastAsia" w:ascii="宋体" w:hAnsi="宋体" w:eastAsia="宋体" w:cs="宋体"/>
          <w:color w:val="auto"/>
          <w:sz w:val="24"/>
          <w:szCs w:val="20"/>
          <w:highlight w:val="none"/>
          <w:lang w:val="en-US" w:eastAsia="zh-CN" w:bidi="ar-SA"/>
        </w:rPr>
        <w:t>1.供应商需合理安排各个环节的时间进度，确保在合同签订后规定时间内完成本项目。</w:t>
      </w:r>
    </w:p>
    <w:p w14:paraId="02658683">
      <w:pPr>
        <w:pBdr>
          <w:top w:val="none" w:color="000000" w:sz="0" w:space="0"/>
          <w:left w:val="none" w:color="000000" w:sz="0" w:space="0"/>
          <w:bottom w:val="none" w:color="000000" w:sz="0" w:space="0"/>
          <w:right w:val="none" w:color="000000" w:sz="0" w:space="0"/>
        </w:pBdr>
        <w:spacing w:line="439" w:lineRule="atLeast"/>
        <w:ind w:firstLine="420"/>
        <w:rPr>
          <w:rStyle w:val="9"/>
          <w:rFonts w:hint="eastAsia" w:ascii="宋体" w:hAnsi="宋体" w:eastAsia="宋体" w:cs="宋体"/>
          <w:color w:val="auto"/>
          <w:sz w:val="24"/>
          <w:szCs w:val="20"/>
          <w:highlight w:val="none"/>
          <w:lang w:val="en-US" w:eastAsia="zh-CN" w:bidi="ar-SA"/>
        </w:rPr>
      </w:pPr>
      <w:r>
        <w:rPr>
          <w:rStyle w:val="9"/>
          <w:rFonts w:hint="eastAsia" w:ascii="宋体" w:hAnsi="宋体" w:eastAsia="宋体" w:cs="宋体"/>
          <w:color w:val="auto"/>
          <w:sz w:val="24"/>
          <w:szCs w:val="20"/>
          <w:highlight w:val="none"/>
          <w:lang w:val="en-US" w:eastAsia="zh-CN" w:bidi="ar-SA"/>
        </w:rPr>
        <w:t>2.供货前，供应商应提供相关货物、设备的规格、参数、颜色、外形等供采购人确认，否则造成的损失由中标人自行承担。产品必须是正规厂家新品，不得使用已经淘汰或拼凑、组装的伪劣、假冒部件及产品经采购人审验合格后方可进场，所有产品必须符合国家标准和环保要求，不得以次充好。</w:t>
      </w:r>
    </w:p>
    <w:p w14:paraId="25098FF6">
      <w:pPr>
        <w:pBdr>
          <w:top w:val="none" w:color="000000" w:sz="0" w:space="0"/>
          <w:left w:val="none" w:color="000000" w:sz="0" w:space="0"/>
          <w:bottom w:val="none" w:color="000000" w:sz="0" w:space="0"/>
          <w:right w:val="none" w:color="000000" w:sz="0" w:space="0"/>
        </w:pBdr>
        <w:spacing w:line="439" w:lineRule="atLeast"/>
        <w:ind w:firstLine="420"/>
        <w:rPr>
          <w:rStyle w:val="9"/>
          <w:rFonts w:hint="eastAsia" w:ascii="宋体" w:hAnsi="宋体" w:eastAsia="宋体" w:cs="宋体"/>
          <w:color w:val="auto"/>
          <w:sz w:val="24"/>
          <w:szCs w:val="20"/>
          <w:highlight w:val="none"/>
          <w:lang w:val="en-US" w:eastAsia="zh-CN" w:bidi="ar-SA"/>
        </w:rPr>
      </w:pPr>
      <w:r>
        <w:rPr>
          <w:rStyle w:val="9"/>
          <w:rFonts w:hint="eastAsia" w:ascii="宋体" w:hAnsi="宋体" w:eastAsia="宋体" w:cs="宋体"/>
          <w:color w:val="auto"/>
          <w:sz w:val="24"/>
          <w:szCs w:val="20"/>
          <w:highlight w:val="none"/>
          <w:lang w:val="en-US" w:eastAsia="zh-CN" w:bidi="ar-SA"/>
        </w:rPr>
        <w:t>3.供应商应在合同签订后规定时间按要求将货物运输至业主指定的交货地点。零散及易损件须用木箱包装，确保防盗、防震、防潮、防破损、运输方式确定，并且由于运输造成的设备损坏，丢失均由中标人负责处理，未按进度供货的，责任供应商自负。</w:t>
      </w:r>
    </w:p>
    <w:p w14:paraId="64CA3CE9">
      <w:pPr>
        <w:pBdr>
          <w:top w:val="none" w:color="000000" w:sz="0" w:space="0"/>
          <w:left w:val="none" w:color="000000" w:sz="0" w:space="0"/>
          <w:bottom w:val="none" w:color="000000" w:sz="0" w:space="0"/>
          <w:right w:val="none" w:color="000000" w:sz="0" w:space="0"/>
        </w:pBdr>
        <w:spacing w:line="439" w:lineRule="atLeast"/>
        <w:ind w:firstLine="420"/>
        <w:rPr>
          <w:rStyle w:val="9"/>
          <w:rFonts w:hint="eastAsia" w:ascii="宋体" w:hAnsi="宋体" w:eastAsia="宋体" w:cs="宋体"/>
          <w:color w:val="auto"/>
          <w:sz w:val="24"/>
          <w:szCs w:val="24"/>
          <w:highlight w:val="none"/>
          <w:lang w:val="en-US" w:eastAsia="zh-CN" w:bidi="ar-SA"/>
        </w:rPr>
      </w:pPr>
      <w:r>
        <w:rPr>
          <w:rStyle w:val="9"/>
          <w:rFonts w:hint="eastAsia" w:ascii="宋体" w:hAnsi="宋体" w:eastAsia="宋体" w:cs="宋体"/>
          <w:color w:val="auto"/>
          <w:sz w:val="24"/>
          <w:szCs w:val="20"/>
          <w:highlight w:val="none"/>
          <w:lang w:val="en-US" w:eastAsia="zh-CN" w:bidi="ar-SA"/>
        </w:rPr>
        <w:t>4.经采购人确认供货完成后，供应商应在规定时间内完成货物的安装、调试的工作，对于安装、调试出现质量问题的，供应商应及时更换新的产品，确保货物质量。</w:t>
      </w:r>
    </w:p>
    <w:p w14:paraId="6488864D">
      <w:pPr>
        <w:pStyle w:val="7"/>
        <w:keepNext w:val="0"/>
        <w:keepLines w:val="0"/>
        <w:pageBreakBefore w:val="0"/>
        <w:numPr>
          <w:ilvl w:val="0"/>
          <w:numId w:val="0"/>
        </w:numPr>
        <w:spacing w:line="360" w:lineRule="auto"/>
        <w:jc w:val="left"/>
        <w:rPr>
          <w:rStyle w:val="9"/>
          <w:rFonts w:hint="eastAsia" w:ascii="宋体" w:hAnsi="宋体" w:eastAsia="宋体" w:cs="宋体"/>
          <w:b/>
          <w:bCs/>
          <w:color w:val="auto"/>
          <w:sz w:val="28"/>
          <w:szCs w:val="28"/>
          <w:highlight w:val="none"/>
          <w:lang w:val="en-US" w:eastAsia="zh-CN" w:bidi="ar-SA"/>
        </w:rPr>
      </w:pPr>
      <w:r>
        <w:rPr>
          <w:rStyle w:val="9"/>
          <w:rFonts w:hint="eastAsia" w:ascii="宋体" w:hAnsi="宋体" w:eastAsia="宋体" w:cs="宋体"/>
          <w:b/>
          <w:bCs/>
          <w:color w:val="auto"/>
          <w:sz w:val="28"/>
          <w:szCs w:val="28"/>
          <w:highlight w:val="none"/>
          <w:lang w:val="en-US" w:eastAsia="zh-CN" w:bidi="ar-SA"/>
        </w:rPr>
        <w:t>五、验收</w:t>
      </w:r>
    </w:p>
    <w:p w14:paraId="7D5AC199">
      <w:pPr>
        <w:pStyle w:val="15"/>
        <w:keepNext w:val="0"/>
        <w:keepLines w:val="0"/>
        <w:pageBreakBefore w:val="0"/>
        <w:spacing w:line="360" w:lineRule="auto"/>
        <w:ind w:firstLine="480"/>
        <w:rPr>
          <w:rStyle w:val="9"/>
          <w:rFonts w:hint="eastAsia" w:ascii="宋体" w:hAnsi="宋体" w:eastAsia="宋体" w:cs="宋体"/>
          <w:color w:val="auto"/>
          <w:sz w:val="24"/>
          <w:highlight w:val="none"/>
          <w:lang w:val="en-US" w:eastAsia="zh-CN" w:bidi="ar-SA"/>
        </w:rPr>
      </w:pPr>
      <w:r>
        <w:rPr>
          <w:rStyle w:val="9"/>
          <w:rFonts w:hint="eastAsia" w:ascii="宋体" w:hAnsi="宋体" w:eastAsia="宋体" w:cs="宋体"/>
          <w:color w:val="auto"/>
          <w:sz w:val="24"/>
          <w:highlight w:val="none"/>
          <w:lang w:val="en-US" w:eastAsia="zh-CN" w:bidi="ar-SA"/>
        </w:rPr>
        <w:t>1、在发货前，供应商应对货物的质量、规格、参数、性能、数量等进行准确而全面的检验，并出具一份证明货物符合合同规定的证书。该证书将作为提交付款单据的一部分，但有关质量、规格、参数、性能、数量或重量的检验不应视为最终检验。检验的结果和细节应附在检验证书后面。</w:t>
      </w:r>
    </w:p>
    <w:p w14:paraId="658129E7">
      <w:pPr>
        <w:pStyle w:val="15"/>
        <w:keepNext w:val="0"/>
        <w:keepLines w:val="0"/>
        <w:pageBreakBefore w:val="0"/>
        <w:spacing w:line="360" w:lineRule="auto"/>
        <w:ind w:firstLine="480"/>
        <w:rPr>
          <w:rStyle w:val="9"/>
          <w:rFonts w:hint="eastAsia" w:ascii="宋体" w:hAnsi="宋体" w:eastAsia="宋体" w:cs="宋体"/>
          <w:color w:val="auto"/>
          <w:sz w:val="24"/>
          <w:highlight w:val="none"/>
          <w:lang w:val="en-US" w:eastAsia="zh-CN" w:bidi="ar-SA"/>
        </w:rPr>
      </w:pPr>
      <w:r>
        <w:rPr>
          <w:rStyle w:val="9"/>
          <w:rFonts w:hint="eastAsia" w:ascii="宋体" w:hAnsi="宋体" w:eastAsia="宋体" w:cs="宋体"/>
          <w:color w:val="auto"/>
          <w:sz w:val="24"/>
          <w:highlight w:val="none"/>
          <w:lang w:val="en-US" w:eastAsia="zh-CN" w:bidi="ar-SA"/>
        </w:rPr>
        <w:t>2、货物交付后，在安装前应仔细检查货物自身无缺陷后方可安装，如果存在货物破损、自身材质、规格等质量缺陷，甲方有权要求将货物退场，由此引起的一切后果由乙方承担。</w:t>
      </w:r>
    </w:p>
    <w:p w14:paraId="0DA288F1">
      <w:pPr>
        <w:pStyle w:val="15"/>
        <w:keepNext w:val="0"/>
        <w:keepLines w:val="0"/>
        <w:pageBreakBefore w:val="0"/>
        <w:spacing w:line="360" w:lineRule="auto"/>
        <w:ind w:firstLine="480"/>
        <w:rPr>
          <w:rStyle w:val="9"/>
          <w:rFonts w:hint="eastAsia" w:ascii="宋体" w:hAnsi="宋体" w:eastAsia="宋体" w:cs="宋体"/>
          <w:color w:val="auto"/>
          <w:sz w:val="24"/>
          <w:highlight w:val="none"/>
          <w:lang w:val="en-US" w:eastAsia="zh-CN" w:bidi="ar-SA"/>
        </w:rPr>
      </w:pPr>
      <w:r>
        <w:rPr>
          <w:rStyle w:val="9"/>
          <w:rFonts w:hint="eastAsia" w:ascii="宋体" w:hAnsi="宋体" w:eastAsia="宋体" w:cs="宋体"/>
          <w:color w:val="auto"/>
          <w:sz w:val="24"/>
          <w:highlight w:val="none"/>
          <w:lang w:val="en-US" w:eastAsia="zh-CN" w:bidi="ar-SA"/>
        </w:rPr>
        <w:t>3、货物进场后乙方继续负责看管工作，如因看管不善所造成的一切损失均由乙方承担；设备进场后乙方应准备好相关初步验收资料，验收内容包括：产地、货号、规格、参数、数量、外观质量</w:t>
      </w:r>
      <w:r>
        <w:rPr>
          <w:rStyle w:val="9"/>
          <w:rFonts w:hint="eastAsia" w:ascii="宋体" w:hAnsi="宋体" w:cs="宋体"/>
          <w:color w:val="auto"/>
          <w:sz w:val="24"/>
          <w:highlight w:val="none"/>
          <w:lang w:val="en-US" w:eastAsia="zh-CN" w:bidi="ar-SA"/>
        </w:rPr>
        <w:t>及</w:t>
      </w:r>
      <w:r>
        <w:rPr>
          <w:rStyle w:val="9"/>
          <w:rFonts w:hint="eastAsia" w:ascii="宋体" w:hAnsi="宋体" w:eastAsia="宋体" w:cs="宋体"/>
          <w:color w:val="auto"/>
          <w:sz w:val="24"/>
          <w:highlight w:val="none"/>
          <w:lang w:val="en-US" w:eastAsia="zh-CN" w:bidi="ar-SA"/>
        </w:rPr>
        <w:t>设备是否完好。甲方应按签订采购合同约定时间组织验收，并出具书面初步验收报告。</w:t>
      </w:r>
    </w:p>
    <w:p w14:paraId="627411C7">
      <w:pPr>
        <w:pStyle w:val="15"/>
        <w:keepNext w:val="0"/>
        <w:keepLines w:val="0"/>
        <w:pageBreakBefore w:val="0"/>
        <w:spacing w:line="360" w:lineRule="auto"/>
        <w:ind w:firstLine="480"/>
        <w:rPr>
          <w:rStyle w:val="9"/>
          <w:rFonts w:hint="eastAsia" w:ascii="宋体" w:hAnsi="宋体" w:eastAsia="宋体" w:cs="宋体"/>
          <w:color w:val="auto"/>
          <w:sz w:val="24"/>
          <w:szCs w:val="24"/>
          <w:highlight w:val="none"/>
          <w:lang w:val="en-US" w:eastAsia="zh-CN" w:bidi="ar-SA"/>
        </w:rPr>
      </w:pPr>
      <w:r>
        <w:rPr>
          <w:rStyle w:val="9"/>
          <w:rFonts w:hint="eastAsia" w:ascii="宋体" w:hAnsi="宋体" w:eastAsia="宋体" w:cs="宋体"/>
          <w:color w:val="auto"/>
          <w:sz w:val="24"/>
          <w:highlight w:val="none"/>
          <w:lang w:val="en-US" w:eastAsia="zh-CN" w:bidi="ar-SA"/>
        </w:rPr>
        <w:t>4、乙方货物全部进场安装调试，并向甲方提供相关初步验收资料。验收前，甲方可以随机抽样送第三方检测（检测费用由乙方支付），检测完成并经乙方初验合格后，甲方组织验收并出具验收报告。如果设备的质量、规格与合同规定不符，或在质量保证期内发现货物是有缺陷的（包括潜在缺陷或使用不符合要求的材料），甲方应报请法定检验机构进行检测（检测费由乙方承担），有权凭其出具的检验报告向乙方提出索赔。</w:t>
      </w:r>
    </w:p>
    <w:p w14:paraId="7BB7C7C6">
      <w:pPr>
        <w:spacing w:line="560" w:lineRule="exact"/>
        <w:ind w:firstLine="453" w:firstLineChars="18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初验</w:t>
      </w:r>
    </w:p>
    <w:p w14:paraId="6A1E2DAE">
      <w:pPr>
        <w:spacing w:line="560" w:lineRule="exact"/>
        <w:ind w:firstLine="453" w:firstLineChars="189"/>
        <w:rPr>
          <w:rFonts w:hint="eastAsia" w:ascii="宋体" w:hAnsi="宋体" w:eastAsia="宋体" w:cs="宋体"/>
          <w:color w:val="000000"/>
          <w:sz w:val="24"/>
          <w:szCs w:val="24"/>
        </w:rPr>
      </w:pPr>
      <w:r>
        <w:rPr>
          <w:rFonts w:hint="eastAsia" w:ascii="宋体" w:hAnsi="宋体" w:eastAsia="宋体" w:cs="宋体"/>
          <w:color w:val="000000"/>
          <w:sz w:val="24"/>
          <w:szCs w:val="24"/>
        </w:rPr>
        <w:t>在</w:t>
      </w:r>
      <w:r>
        <w:rPr>
          <w:rFonts w:hint="eastAsia" w:ascii="宋体" w:hAnsi="宋体" w:eastAsia="宋体" w:cs="宋体"/>
          <w:color w:val="000000"/>
          <w:sz w:val="24"/>
          <w:szCs w:val="24"/>
          <w:lang w:val="en-US" w:eastAsia="zh-CN"/>
        </w:rPr>
        <w:t>30日历天</w:t>
      </w:r>
      <w:r>
        <w:rPr>
          <w:rFonts w:hint="eastAsia" w:ascii="宋体" w:hAnsi="宋体" w:eastAsia="宋体" w:cs="宋体"/>
          <w:color w:val="000000"/>
          <w:sz w:val="24"/>
          <w:szCs w:val="24"/>
        </w:rPr>
        <w:t>将货物送至采购人指定地点并安装调试完毕，乙方向甲方提交项目初验技术资料以及初验申请单，甲方收到申请后3个工作日内组织初验并按照合同约定以及响应文件中的产品技术标准进行验收无问题后签署初验单。</w:t>
      </w:r>
    </w:p>
    <w:p w14:paraId="425D8D84">
      <w:pPr>
        <w:spacing w:line="560" w:lineRule="exact"/>
        <w:ind w:firstLine="453" w:firstLineChars="18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终验</w:t>
      </w:r>
    </w:p>
    <w:p w14:paraId="3620C54B">
      <w:pPr>
        <w:spacing w:line="560" w:lineRule="exact"/>
        <w:ind w:firstLine="453" w:firstLineChars="189"/>
        <w:rPr>
          <w:rFonts w:hint="eastAsia" w:ascii="宋体" w:hAnsi="宋体" w:eastAsia="宋体" w:cs="宋体"/>
          <w:color w:val="000000"/>
          <w:sz w:val="24"/>
          <w:szCs w:val="24"/>
        </w:rPr>
      </w:pPr>
      <w:r>
        <w:rPr>
          <w:rFonts w:hint="eastAsia" w:ascii="宋体" w:hAnsi="宋体" w:eastAsia="宋体" w:cs="宋体"/>
          <w:color w:val="000000"/>
          <w:sz w:val="24"/>
          <w:szCs w:val="24"/>
        </w:rPr>
        <w:t>初验合格后进入售后服务期，售后服务期，乙方向甲方提交项目验收技术资料以及终验申请单，甲方收到申请后3个工作日内组织终验且验收无问题后签署终验单。</w:t>
      </w:r>
    </w:p>
    <w:p w14:paraId="0181037B">
      <w:pPr>
        <w:pStyle w:val="15"/>
        <w:keepNext w:val="0"/>
        <w:keepLines w:val="0"/>
        <w:pageBreakBefore w:val="0"/>
        <w:widowControl/>
        <w:spacing w:line="360" w:lineRule="auto"/>
        <w:ind w:firstLine="480" w:firstLineChars="200"/>
        <w:jc w:val="left"/>
        <w:rPr>
          <w:rStyle w:val="9"/>
          <w:rFonts w:hint="eastAsia" w:ascii="宋体" w:hAnsi="宋体" w:eastAsia="宋体" w:cs="宋体"/>
          <w:b/>
          <w:bCs/>
          <w:color w:val="000000"/>
          <w:sz w:val="24"/>
          <w:szCs w:val="24"/>
          <w:highlight w:val="none"/>
          <w:lang w:val="en-US" w:eastAsia="zh-CN" w:bidi="ar-SA"/>
        </w:rPr>
      </w:pPr>
      <w:r>
        <w:rPr>
          <w:rFonts w:hint="eastAsia" w:ascii="宋体" w:hAnsi="宋体" w:eastAsia="宋体" w:cs="宋体"/>
          <w:color w:val="000000"/>
          <w:sz w:val="24"/>
          <w:szCs w:val="24"/>
        </w:rPr>
        <w:t>验收的标准按照采购文件、响应文件及相关标准实施，须服从采购人安排要求。</w:t>
      </w:r>
    </w:p>
    <w:p w14:paraId="608DBDBB">
      <w:pPr>
        <w:pStyle w:val="15"/>
        <w:keepNext w:val="0"/>
        <w:keepLines w:val="0"/>
        <w:pageBreakBefore w:val="0"/>
        <w:widowControl/>
        <w:spacing w:line="360" w:lineRule="auto"/>
        <w:jc w:val="left"/>
        <w:rPr>
          <w:rStyle w:val="9"/>
          <w:rFonts w:hint="eastAsia" w:ascii="宋体" w:hAnsi="宋体" w:eastAsia="宋体" w:cs="宋体"/>
          <w:b/>
          <w:bCs/>
          <w:color w:val="auto"/>
          <w:sz w:val="28"/>
          <w:szCs w:val="28"/>
          <w:highlight w:val="none"/>
          <w:lang w:val="en-US" w:eastAsia="zh-CN" w:bidi="ar-SA"/>
        </w:rPr>
      </w:pPr>
      <w:r>
        <w:rPr>
          <w:rStyle w:val="9"/>
          <w:rFonts w:hint="eastAsia" w:ascii="宋体" w:hAnsi="宋体" w:eastAsia="宋体" w:cs="宋体"/>
          <w:b/>
          <w:bCs/>
          <w:color w:val="auto"/>
          <w:sz w:val="28"/>
          <w:szCs w:val="28"/>
          <w:highlight w:val="none"/>
          <w:lang w:val="en-US" w:eastAsia="zh-CN" w:bidi="ar-SA"/>
        </w:rPr>
        <w:t>六、其他要求</w:t>
      </w:r>
    </w:p>
    <w:p w14:paraId="4A182705">
      <w:pPr>
        <w:pStyle w:val="15"/>
        <w:keepNext w:val="0"/>
        <w:keepLines w:val="0"/>
        <w:pageBreakBefore w:val="0"/>
        <w:spacing w:line="360" w:lineRule="auto"/>
        <w:ind w:firstLine="480"/>
        <w:rPr>
          <w:rStyle w:val="9"/>
          <w:rFonts w:hint="eastAsia" w:ascii="宋体" w:hAnsi="宋体" w:eastAsia="宋体" w:cs="宋体"/>
          <w:color w:val="auto"/>
          <w:sz w:val="24"/>
          <w:szCs w:val="24"/>
          <w:highlight w:val="none"/>
          <w:lang w:val="en-US" w:eastAsia="zh-CN" w:bidi="ar-SA"/>
        </w:rPr>
      </w:pPr>
      <w:r>
        <w:rPr>
          <w:rStyle w:val="9"/>
          <w:rFonts w:hint="eastAsia" w:ascii="宋体" w:hAnsi="宋体" w:eastAsia="宋体" w:cs="宋体"/>
          <w:color w:val="auto"/>
          <w:sz w:val="24"/>
          <w:szCs w:val="24"/>
          <w:highlight w:val="none"/>
          <w:lang w:val="en-US" w:eastAsia="zh-CN" w:bidi="ar-SA"/>
        </w:rPr>
        <w:t>1、供应商所投设备货物的技术参数不得低于本项目的采购需求技术要求和档次。</w:t>
      </w:r>
    </w:p>
    <w:p w14:paraId="32C2C13F">
      <w:pPr>
        <w:pStyle w:val="15"/>
        <w:keepNext w:val="0"/>
        <w:keepLines w:val="0"/>
        <w:pageBreakBefore w:val="0"/>
        <w:spacing w:line="360" w:lineRule="auto"/>
        <w:ind w:firstLine="480"/>
        <w:rPr>
          <w:rStyle w:val="9"/>
          <w:rFonts w:hint="eastAsia" w:ascii="宋体" w:hAnsi="宋体" w:eastAsia="宋体" w:cs="宋体"/>
          <w:color w:val="auto"/>
          <w:sz w:val="24"/>
          <w:szCs w:val="24"/>
          <w:highlight w:val="none"/>
          <w:lang w:val="en-US" w:eastAsia="zh-CN" w:bidi="ar-SA"/>
        </w:rPr>
      </w:pPr>
      <w:r>
        <w:rPr>
          <w:rStyle w:val="9"/>
          <w:rFonts w:hint="eastAsia" w:ascii="宋体" w:hAnsi="宋体" w:eastAsia="宋体" w:cs="宋体"/>
          <w:color w:val="auto"/>
          <w:sz w:val="24"/>
          <w:szCs w:val="24"/>
          <w:highlight w:val="none"/>
          <w:lang w:val="en-US" w:eastAsia="zh-CN" w:bidi="ar-SA"/>
        </w:rPr>
        <w:t>2、供应商必须提供符合国家质量检测标准的全新、未使用过的货物</w:t>
      </w:r>
      <w:r>
        <w:rPr>
          <w:rStyle w:val="9"/>
          <w:rFonts w:hint="eastAsia" w:ascii="宋体" w:hAnsi="宋体" w:cs="宋体"/>
          <w:color w:val="auto"/>
          <w:sz w:val="24"/>
          <w:szCs w:val="24"/>
          <w:highlight w:val="none"/>
          <w:lang w:val="en-US" w:eastAsia="zh-CN" w:bidi="ar-SA"/>
        </w:rPr>
        <w:t>（</w:t>
      </w:r>
      <w:r>
        <w:rPr>
          <w:rStyle w:val="9"/>
          <w:rFonts w:hint="eastAsia" w:ascii="宋体" w:hAnsi="宋体" w:eastAsia="宋体" w:cs="宋体"/>
          <w:color w:val="auto"/>
          <w:sz w:val="24"/>
          <w:szCs w:val="24"/>
          <w:highlight w:val="none"/>
          <w:lang w:val="en-US" w:eastAsia="zh-CN" w:bidi="ar-SA"/>
        </w:rPr>
        <w:t>包括所有零配件、专用工具等</w:t>
      </w:r>
      <w:r>
        <w:rPr>
          <w:rStyle w:val="9"/>
          <w:rFonts w:hint="eastAsia" w:ascii="宋体" w:hAnsi="宋体" w:cs="宋体"/>
          <w:color w:val="auto"/>
          <w:sz w:val="24"/>
          <w:szCs w:val="24"/>
          <w:highlight w:val="none"/>
          <w:lang w:val="en-US" w:eastAsia="zh-CN" w:bidi="ar-SA"/>
        </w:rPr>
        <w:t>）</w:t>
      </w:r>
      <w:r>
        <w:rPr>
          <w:rStyle w:val="9"/>
          <w:rFonts w:hint="eastAsia" w:ascii="宋体" w:hAnsi="宋体" w:eastAsia="宋体" w:cs="宋体"/>
          <w:color w:val="auto"/>
          <w:sz w:val="24"/>
          <w:szCs w:val="24"/>
          <w:highlight w:val="none"/>
          <w:lang w:val="en-US" w:eastAsia="zh-CN" w:bidi="ar-SA"/>
        </w:rPr>
        <w:t>，表面无划伤，无碰撞，无任何缺陷隐患，在中国境内可依常规安全合法使用，并附有原始厂商的装箱单、完整的技术资料及相应的中文说明等相关资料，必须提供设备的供货配置清单。若中标货物质量不符合采购文件要求，采购人有权拒收货物。供应商在交货时</w:t>
      </w:r>
      <w:r>
        <w:rPr>
          <w:rStyle w:val="9"/>
          <w:rFonts w:hint="eastAsia" w:ascii="宋体" w:hAnsi="宋体" w:cs="宋体"/>
          <w:color w:val="auto"/>
          <w:sz w:val="24"/>
          <w:szCs w:val="24"/>
          <w:highlight w:val="none"/>
          <w:lang w:val="en-US" w:eastAsia="zh-CN" w:bidi="ar-SA"/>
        </w:rPr>
        <w:t>必须</w:t>
      </w:r>
      <w:r>
        <w:rPr>
          <w:rStyle w:val="9"/>
          <w:rFonts w:hint="eastAsia" w:ascii="宋体" w:hAnsi="宋体" w:eastAsia="宋体" w:cs="宋体"/>
          <w:color w:val="auto"/>
          <w:sz w:val="24"/>
          <w:szCs w:val="24"/>
          <w:highlight w:val="none"/>
          <w:lang w:val="en-US" w:eastAsia="zh-CN" w:bidi="ar-SA"/>
        </w:rPr>
        <w:t>提供主要产品生产厂家供货证明书。供应商货物若与标书上列明的货物型号、技术指标等不相符，有造假现象的，一经查出，将终止合同，并承担由此给采购人带来的损失。</w:t>
      </w:r>
    </w:p>
    <w:p w14:paraId="4305C8EE">
      <w:pPr>
        <w:pStyle w:val="15"/>
        <w:keepNext w:val="0"/>
        <w:keepLines w:val="0"/>
        <w:pageBreakBefore w:val="0"/>
        <w:spacing w:line="360" w:lineRule="auto"/>
        <w:ind w:firstLine="480"/>
        <w:rPr>
          <w:rStyle w:val="9"/>
          <w:rFonts w:hint="eastAsia" w:ascii="宋体" w:hAnsi="宋体" w:eastAsia="宋体" w:cs="宋体"/>
          <w:color w:val="auto"/>
          <w:sz w:val="24"/>
          <w:szCs w:val="24"/>
          <w:highlight w:val="none"/>
          <w:lang w:val="en-US" w:eastAsia="zh-CN" w:bidi="ar-SA"/>
        </w:rPr>
      </w:pPr>
      <w:r>
        <w:rPr>
          <w:rStyle w:val="9"/>
          <w:rFonts w:hint="eastAsia" w:ascii="宋体" w:hAnsi="宋体" w:eastAsia="宋体" w:cs="宋体"/>
          <w:color w:val="auto"/>
          <w:sz w:val="24"/>
          <w:szCs w:val="24"/>
          <w:highlight w:val="none"/>
          <w:lang w:val="en-US" w:eastAsia="zh-CN" w:bidi="ar-SA"/>
        </w:rPr>
        <w:t>3、提供技术文件要求</w:t>
      </w:r>
    </w:p>
    <w:p w14:paraId="1A1F2129">
      <w:pPr>
        <w:pStyle w:val="15"/>
        <w:keepNext w:val="0"/>
        <w:keepLines w:val="0"/>
        <w:pageBreakBefore w:val="0"/>
        <w:spacing w:line="360" w:lineRule="auto"/>
        <w:ind w:firstLine="480"/>
        <w:rPr>
          <w:rStyle w:val="9"/>
          <w:rFonts w:hint="eastAsia" w:ascii="宋体" w:hAnsi="宋体" w:eastAsia="宋体" w:cs="宋体"/>
          <w:color w:val="auto"/>
          <w:sz w:val="24"/>
          <w:szCs w:val="24"/>
          <w:highlight w:val="none"/>
          <w:lang w:val="en-US" w:eastAsia="zh-CN" w:bidi="ar-SA"/>
        </w:rPr>
      </w:pPr>
      <w:r>
        <w:rPr>
          <w:rStyle w:val="9"/>
          <w:rFonts w:hint="eastAsia" w:ascii="宋体" w:hAnsi="宋体" w:eastAsia="宋体" w:cs="宋体"/>
          <w:color w:val="auto"/>
          <w:sz w:val="24"/>
          <w:szCs w:val="24"/>
          <w:highlight w:val="none"/>
          <w:lang w:val="en-US" w:eastAsia="zh-CN" w:bidi="ar-SA"/>
        </w:rPr>
        <w:t>3.1中标人所提供的技术说明文件应与货物相对应一致，并尽可能完整清晰，且应为原件。合同技术文件应与每批货物共同包装送交，费用应包含于货物的报价中。</w:t>
      </w:r>
    </w:p>
    <w:p w14:paraId="014D2B5F">
      <w:pPr>
        <w:pStyle w:val="15"/>
        <w:keepNext w:val="0"/>
        <w:keepLines w:val="0"/>
        <w:pageBreakBefore w:val="0"/>
        <w:spacing w:line="360" w:lineRule="auto"/>
        <w:ind w:firstLine="480"/>
        <w:rPr>
          <w:rStyle w:val="9"/>
          <w:rFonts w:hint="eastAsia" w:ascii="宋体" w:hAnsi="宋体" w:eastAsia="宋体" w:cs="宋体"/>
          <w:color w:val="auto"/>
          <w:sz w:val="24"/>
          <w:szCs w:val="24"/>
          <w:highlight w:val="none"/>
          <w:lang w:val="en-US" w:eastAsia="zh-CN" w:bidi="ar-SA"/>
        </w:rPr>
      </w:pPr>
      <w:r>
        <w:rPr>
          <w:rStyle w:val="9"/>
          <w:rFonts w:hint="eastAsia" w:ascii="宋体" w:hAnsi="宋体" w:eastAsia="宋体" w:cs="宋体"/>
          <w:color w:val="auto"/>
          <w:sz w:val="24"/>
          <w:szCs w:val="24"/>
          <w:highlight w:val="none"/>
          <w:lang w:val="en-US" w:eastAsia="zh-CN" w:bidi="ar-SA"/>
        </w:rPr>
        <w:t>3.2货物的技术说明文件应为中文。文字应简单易懂。硬件的技术文件应附详尽图表以便安装和纠错指导。</w:t>
      </w:r>
    </w:p>
    <w:p w14:paraId="40581A9E">
      <w:pPr>
        <w:pStyle w:val="15"/>
        <w:keepNext w:val="0"/>
        <w:keepLines w:val="0"/>
        <w:pageBreakBefore w:val="0"/>
        <w:spacing w:line="360" w:lineRule="auto"/>
        <w:ind w:firstLine="480"/>
        <w:rPr>
          <w:rStyle w:val="9"/>
          <w:rFonts w:hint="eastAsia" w:ascii="宋体" w:hAnsi="宋体" w:eastAsia="宋体" w:cs="宋体"/>
          <w:color w:val="auto"/>
          <w:sz w:val="24"/>
          <w:szCs w:val="24"/>
          <w:highlight w:val="none"/>
          <w:lang w:val="en-US" w:eastAsia="zh-CN" w:bidi="ar-SA"/>
        </w:rPr>
      </w:pPr>
      <w:r>
        <w:rPr>
          <w:rStyle w:val="9"/>
          <w:rFonts w:hint="eastAsia" w:ascii="宋体" w:hAnsi="宋体" w:eastAsia="宋体" w:cs="宋体"/>
          <w:color w:val="auto"/>
          <w:sz w:val="24"/>
          <w:szCs w:val="24"/>
          <w:highlight w:val="none"/>
          <w:lang w:val="en-US" w:eastAsia="zh-CN" w:bidi="ar-SA"/>
        </w:rPr>
        <w:t>3.3技术手册应至少包括如下内容：相关硬件的安装指导、安装手册、使用说明书、设备保养、维护手册</w:t>
      </w:r>
      <w:r>
        <w:rPr>
          <w:rStyle w:val="9"/>
          <w:rFonts w:hint="eastAsia" w:ascii="宋体" w:hAnsi="宋体" w:cs="宋体"/>
          <w:color w:val="auto"/>
          <w:sz w:val="24"/>
          <w:szCs w:val="24"/>
          <w:highlight w:val="none"/>
          <w:lang w:val="en-US" w:eastAsia="zh-CN" w:bidi="ar-SA"/>
        </w:rPr>
        <w:t>（</w:t>
      </w:r>
      <w:r>
        <w:rPr>
          <w:rStyle w:val="9"/>
          <w:rFonts w:hint="eastAsia" w:ascii="宋体" w:hAnsi="宋体" w:eastAsia="宋体" w:cs="宋体"/>
          <w:color w:val="auto"/>
          <w:sz w:val="24"/>
          <w:szCs w:val="24"/>
          <w:highlight w:val="none"/>
          <w:lang w:val="en-US" w:eastAsia="zh-CN" w:bidi="ar-SA"/>
        </w:rPr>
        <w:t>包含错误诊断、测试程序</w:t>
      </w:r>
      <w:r>
        <w:rPr>
          <w:rStyle w:val="9"/>
          <w:rFonts w:hint="eastAsia" w:ascii="宋体" w:hAnsi="宋体" w:cs="宋体"/>
          <w:color w:val="auto"/>
          <w:sz w:val="24"/>
          <w:szCs w:val="24"/>
          <w:highlight w:val="none"/>
          <w:lang w:val="en-US" w:eastAsia="zh-CN" w:bidi="ar-SA"/>
        </w:rPr>
        <w:t>）</w:t>
      </w:r>
      <w:r>
        <w:rPr>
          <w:rStyle w:val="9"/>
          <w:rFonts w:hint="eastAsia" w:ascii="宋体" w:hAnsi="宋体" w:eastAsia="宋体" w:cs="宋体"/>
          <w:color w:val="auto"/>
          <w:sz w:val="24"/>
          <w:szCs w:val="24"/>
          <w:highlight w:val="none"/>
          <w:lang w:val="en-US" w:eastAsia="zh-CN" w:bidi="ar-SA"/>
        </w:rPr>
        <w:t>等；相关软件的安装指导。</w:t>
      </w:r>
    </w:p>
    <w:p w14:paraId="11D09714">
      <w:pPr>
        <w:pStyle w:val="15"/>
        <w:keepNext w:val="0"/>
        <w:keepLines w:val="0"/>
        <w:pageBreakBefore w:val="0"/>
        <w:spacing w:line="360" w:lineRule="auto"/>
        <w:ind w:firstLine="480"/>
        <w:rPr>
          <w:rStyle w:val="9"/>
          <w:rFonts w:hint="eastAsia" w:ascii="宋体" w:hAnsi="宋体" w:eastAsia="宋体" w:cs="宋体"/>
          <w:color w:val="auto"/>
          <w:sz w:val="24"/>
          <w:szCs w:val="24"/>
          <w:highlight w:val="none"/>
          <w:lang w:val="en-US" w:eastAsia="zh-CN" w:bidi="ar-SA"/>
        </w:rPr>
      </w:pPr>
      <w:r>
        <w:rPr>
          <w:rStyle w:val="9"/>
          <w:rFonts w:hint="eastAsia" w:ascii="宋体" w:hAnsi="宋体" w:eastAsia="宋体" w:cs="宋体"/>
          <w:color w:val="auto"/>
          <w:sz w:val="24"/>
          <w:szCs w:val="24"/>
          <w:highlight w:val="none"/>
          <w:lang w:val="en-US" w:eastAsia="zh-CN" w:bidi="ar-SA"/>
        </w:rPr>
        <w:t>4、项目需求中没有在投标文件中注明偏离</w:t>
      </w:r>
      <w:r>
        <w:rPr>
          <w:rStyle w:val="9"/>
          <w:rFonts w:hint="eastAsia" w:ascii="宋体" w:hAnsi="宋体" w:cs="宋体"/>
          <w:color w:val="auto"/>
          <w:sz w:val="24"/>
          <w:szCs w:val="24"/>
          <w:highlight w:val="none"/>
          <w:lang w:val="en-US" w:eastAsia="zh-CN" w:bidi="ar-SA"/>
        </w:rPr>
        <w:t>（</w:t>
      </w:r>
      <w:r>
        <w:rPr>
          <w:rStyle w:val="9"/>
          <w:rFonts w:hint="eastAsia" w:ascii="宋体" w:hAnsi="宋体" w:eastAsia="宋体" w:cs="宋体"/>
          <w:color w:val="auto"/>
          <w:sz w:val="24"/>
          <w:szCs w:val="24"/>
          <w:highlight w:val="none"/>
          <w:lang w:val="en-US" w:eastAsia="zh-CN" w:bidi="ar-SA"/>
        </w:rPr>
        <w:t>文字说明或在技术、商务偏离表注明</w:t>
      </w:r>
      <w:r>
        <w:rPr>
          <w:rStyle w:val="9"/>
          <w:rFonts w:hint="eastAsia" w:ascii="宋体" w:hAnsi="宋体" w:cs="宋体"/>
          <w:color w:val="auto"/>
          <w:sz w:val="24"/>
          <w:szCs w:val="24"/>
          <w:highlight w:val="none"/>
          <w:lang w:val="en-US" w:eastAsia="zh-CN" w:bidi="ar-SA"/>
        </w:rPr>
        <w:t>）</w:t>
      </w:r>
      <w:r>
        <w:rPr>
          <w:rStyle w:val="9"/>
          <w:rFonts w:hint="eastAsia" w:ascii="宋体" w:hAnsi="宋体" w:eastAsia="宋体" w:cs="宋体"/>
          <w:color w:val="auto"/>
          <w:sz w:val="24"/>
          <w:szCs w:val="24"/>
          <w:highlight w:val="none"/>
          <w:lang w:val="en-US" w:eastAsia="zh-CN" w:bidi="ar-SA"/>
        </w:rPr>
        <w:t>的参数、配置、条款视为供应商完全接受。</w:t>
      </w:r>
    </w:p>
    <w:p w14:paraId="2DF613E3">
      <w:pPr>
        <w:pStyle w:val="15"/>
        <w:keepNext w:val="0"/>
        <w:keepLines w:val="0"/>
        <w:pageBreakBefore w:val="0"/>
        <w:spacing w:line="360" w:lineRule="auto"/>
        <w:ind w:firstLine="480"/>
        <w:rPr>
          <w:rStyle w:val="9"/>
          <w:rFonts w:hint="eastAsia" w:ascii="宋体" w:hAnsi="宋体" w:eastAsia="宋体" w:cs="宋体"/>
          <w:color w:val="auto"/>
          <w:sz w:val="24"/>
          <w:szCs w:val="24"/>
          <w:highlight w:val="none"/>
          <w:lang w:val="en-US" w:eastAsia="zh-CN" w:bidi="ar-SA"/>
        </w:rPr>
      </w:pPr>
      <w:r>
        <w:rPr>
          <w:rStyle w:val="9"/>
          <w:rFonts w:hint="eastAsia" w:ascii="宋体" w:hAnsi="宋体" w:eastAsia="宋体" w:cs="宋体"/>
          <w:color w:val="auto"/>
          <w:sz w:val="24"/>
          <w:szCs w:val="24"/>
          <w:highlight w:val="none"/>
          <w:lang w:val="en-US" w:eastAsia="zh-CN" w:bidi="ar-SA"/>
        </w:rPr>
        <w:t>5、所报货物或商务条款存在偏差的必须如实填写，否则可能导致废标。</w:t>
      </w:r>
    </w:p>
    <w:p w14:paraId="2F78AB72">
      <w:pPr>
        <w:pStyle w:val="15"/>
        <w:keepNext w:val="0"/>
        <w:keepLines w:val="0"/>
        <w:pageBreakBefore w:val="0"/>
        <w:spacing w:line="360" w:lineRule="auto"/>
        <w:ind w:firstLine="480"/>
        <w:rPr>
          <w:rStyle w:val="9"/>
          <w:rFonts w:hint="eastAsia" w:ascii="宋体" w:hAnsi="宋体" w:eastAsia="宋体" w:cs="宋体"/>
          <w:color w:val="auto"/>
          <w:sz w:val="24"/>
          <w:szCs w:val="24"/>
          <w:highlight w:val="none"/>
          <w:lang w:val="en-US" w:eastAsia="zh-CN" w:bidi="ar-SA"/>
        </w:rPr>
      </w:pPr>
      <w:r>
        <w:rPr>
          <w:rStyle w:val="9"/>
          <w:rFonts w:hint="eastAsia" w:ascii="宋体" w:hAnsi="宋体" w:eastAsia="宋体" w:cs="宋体"/>
          <w:color w:val="auto"/>
          <w:sz w:val="24"/>
          <w:szCs w:val="24"/>
          <w:highlight w:val="none"/>
          <w:lang w:val="en-US" w:eastAsia="zh-CN" w:bidi="ar-SA"/>
        </w:rPr>
        <w:t>6、中标人在签订合同时，若坚持提出不合理要求，中标资格将被取消，该中标人对由此产生的一切后果负责。</w:t>
      </w:r>
    </w:p>
    <w:p w14:paraId="3C5F9F4C">
      <w:pPr>
        <w:pStyle w:val="10"/>
        <w:keepNext w:val="0"/>
        <w:keepLines w:val="0"/>
        <w:pageBreakBefore w:val="0"/>
        <w:spacing w:line="360" w:lineRule="auto"/>
        <w:ind w:right="-73" w:firstLine="480"/>
        <w:rPr>
          <w:rStyle w:val="9"/>
          <w:rFonts w:hint="default" w:ascii="宋体" w:hAnsi="宋体" w:eastAsia="宋体" w:cs="宋体"/>
          <w:color w:val="auto"/>
          <w:sz w:val="24"/>
          <w:szCs w:val="24"/>
          <w:highlight w:val="none"/>
          <w:lang w:val="en-US" w:eastAsia="zh-CN" w:bidi="ar-SA"/>
        </w:rPr>
      </w:pPr>
      <w:r>
        <w:rPr>
          <w:rStyle w:val="9"/>
          <w:rFonts w:hint="eastAsia" w:ascii="宋体" w:hAnsi="宋体" w:eastAsia="宋体" w:cs="宋体"/>
          <w:color w:val="auto"/>
          <w:sz w:val="24"/>
          <w:szCs w:val="24"/>
          <w:highlight w:val="none"/>
          <w:lang w:val="en-US" w:eastAsia="zh-CN" w:bidi="ar-SA"/>
        </w:rPr>
        <w:t>7、乙方在施工前应做好原有建筑物、设备、水管、绿化、道路等成品保护工作，不得野蛮施工，不得损坏、破坏原有建筑物、设备、水管、绿化、道路，如损坏或破坏原有建筑物、设备、水管、绿化、道路的，乙方应及时免费修复完善。如乙方未及时修复或修复成果达不到原有效果的，乙方除继续免费修复完善外，还应支付违约金500~3000元/每处，造成一切损失由乙方负全责。</w:t>
      </w:r>
    </w:p>
    <w:p w14:paraId="6EF65A7A">
      <w:pPr>
        <w:pStyle w:val="10"/>
        <w:keepNext w:val="0"/>
        <w:keepLines w:val="0"/>
        <w:pageBreakBefore w:val="0"/>
        <w:spacing w:line="360" w:lineRule="auto"/>
        <w:ind w:right="-73" w:firstLine="480"/>
        <w:rPr>
          <w:rStyle w:val="9"/>
          <w:rFonts w:hint="eastAsia" w:ascii="宋体" w:hAnsi="宋体" w:eastAsia="宋体" w:cs="宋体"/>
          <w:b/>
          <w:bCs/>
          <w:color w:val="auto"/>
          <w:sz w:val="28"/>
          <w:szCs w:val="28"/>
          <w:highlight w:val="none"/>
          <w:lang w:val="en-US" w:eastAsia="zh-CN" w:bidi="ar-SA"/>
        </w:rPr>
      </w:pPr>
      <w:r>
        <w:rPr>
          <w:rStyle w:val="9"/>
          <w:rFonts w:hint="eastAsia" w:ascii="宋体" w:hAnsi="宋体" w:eastAsia="宋体" w:cs="宋体"/>
          <w:color w:val="auto"/>
          <w:sz w:val="24"/>
          <w:szCs w:val="24"/>
          <w:highlight w:val="none"/>
          <w:lang w:val="en-US" w:eastAsia="zh-CN" w:bidi="ar-SA"/>
        </w:rPr>
        <w:t>8、</w:t>
      </w:r>
      <w:r>
        <w:rPr>
          <w:rFonts w:hint="eastAsia" w:ascii="宋体" w:hAnsi="宋体" w:eastAsia="宋体" w:cs="宋体"/>
          <w:caps w:val="0"/>
          <w:color w:val="auto"/>
          <w:sz w:val="24"/>
          <w:szCs w:val="24"/>
          <w:highlight w:val="none"/>
          <w:lang w:val="en-US" w:eastAsia="zh-CN"/>
        </w:rPr>
        <w:t xml:space="preserve">中标人需提供售后技术支持服务，运行中出现故障时，由采购人通知中标人。疑难问题（不危及运行）在24小时内答复用户。重大问题（危及运行）在2小时内到现场处理或通过网络远程处理。特大问题（系统不能正常运行）在2小时内恢复系统运行，并在24小时内派技术人员到现场解决。现场予以排除故障、修复或更换零部件，或启用替代品。如需更换设备或送修，必须在2个工作日内解决。采购人不承担所产生的任何费用。 </w:t>
      </w:r>
    </w:p>
    <w:p w14:paraId="182877E0">
      <w:pPr>
        <w:pStyle w:val="12"/>
        <w:pageBreakBefore w:val="0"/>
        <w:spacing w:line="360" w:lineRule="auto"/>
        <w:ind w:left="0" w:right="0" w:firstLine="0"/>
        <w:rPr>
          <w:rStyle w:val="9"/>
          <w:rFonts w:hint="eastAsia" w:ascii="宋体" w:hAnsi="宋体" w:eastAsia="宋体" w:cs="宋体"/>
          <w:b/>
          <w:bCs/>
          <w:color w:val="auto"/>
          <w:sz w:val="28"/>
          <w:szCs w:val="28"/>
          <w:highlight w:val="none"/>
          <w:lang w:val="en-US" w:eastAsia="zh-CN" w:bidi="ar-SA"/>
        </w:rPr>
      </w:pPr>
      <w:r>
        <w:rPr>
          <w:rStyle w:val="9"/>
          <w:rFonts w:hint="eastAsia" w:ascii="宋体" w:hAnsi="宋体" w:eastAsia="宋体" w:cs="宋体"/>
          <w:b/>
          <w:bCs/>
          <w:color w:val="auto"/>
          <w:sz w:val="28"/>
          <w:szCs w:val="28"/>
          <w:highlight w:val="none"/>
          <w:lang w:val="en-US" w:eastAsia="zh-CN" w:bidi="ar-SA"/>
        </w:rPr>
        <w:t>七、项目实施方案要求</w:t>
      </w:r>
    </w:p>
    <w:p w14:paraId="7321084A">
      <w:pPr>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投标人针对本项目提供详细的项目实施方案，内容包括但不限于：项目总体实施方案</w:t>
      </w:r>
      <w:r>
        <w:rPr>
          <w:rFonts w:hint="eastAsia" w:ascii="宋体" w:hAnsi="宋体" w:eastAsia="宋体" w:cs="宋体"/>
          <w:sz w:val="24"/>
          <w:szCs w:val="22"/>
          <w:lang w:val="en-US" w:eastAsia="zh-CN"/>
        </w:rPr>
        <w:t>、</w:t>
      </w:r>
      <w:r>
        <w:rPr>
          <w:rFonts w:hint="eastAsia" w:ascii="宋体" w:hAnsi="宋体" w:eastAsia="宋体" w:cs="宋体"/>
          <w:color w:val="auto"/>
          <w:sz w:val="24"/>
          <w:highlight w:val="none"/>
          <w:lang w:val="en-US" w:eastAsia="zh-CN"/>
        </w:rPr>
        <w:t>质量和安全管理方案、安装调试方案、售后服务方案</w:t>
      </w:r>
      <w:r>
        <w:rPr>
          <w:rFonts w:hint="eastAsia" w:ascii="宋体" w:hAnsi="宋体" w:eastAsia="宋体" w:cs="宋体"/>
          <w:color w:val="auto"/>
          <w:sz w:val="24"/>
          <w:highlight w:val="none"/>
        </w:rPr>
        <w:t>等</w:t>
      </w:r>
      <w:r>
        <w:rPr>
          <w:rFonts w:hint="eastAsia" w:ascii="宋体" w:hAnsi="宋体" w:eastAsia="宋体" w:cs="宋体"/>
          <w:color w:val="auto"/>
          <w:sz w:val="24"/>
          <w:highlight w:val="none"/>
          <w:lang w:val="en-US" w:eastAsia="zh-CN"/>
        </w:rPr>
        <w:t>内容。</w:t>
      </w:r>
    </w:p>
    <w:p w14:paraId="2AFCC725">
      <w:pPr>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项目总体实施方案</w:t>
      </w:r>
    </w:p>
    <w:p w14:paraId="55D4DC57">
      <w:pPr>
        <w:ind w:firstLine="480" w:firstLineChars="200"/>
        <w:rPr>
          <w:rFonts w:hint="eastAsia" w:ascii="宋体" w:hAnsi="宋体" w:eastAsia="宋体" w:cs="宋体"/>
          <w:color w:val="auto"/>
          <w:sz w:val="24"/>
          <w:highlight w:val="none"/>
          <w:rtl w:val="0"/>
          <w:lang w:val="en-US" w:eastAsia="zh-CN"/>
        </w:rPr>
      </w:pPr>
      <w:r>
        <w:rPr>
          <w:rFonts w:hint="eastAsia" w:ascii="宋体" w:hAnsi="宋体" w:eastAsia="宋体" w:cs="宋体"/>
          <w:color w:val="auto"/>
          <w:sz w:val="24"/>
          <w:highlight w:val="none"/>
          <w:rtl w:val="0"/>
          <w:lang w:val="en-US" w:eastAsia="zh-CN"/>
        </w:rPr>
        <w:t>项目总体实施方案全面，具有实施项目质量保证、人员配备、岗位职责、安装调试、进度计划及保障等措施方案。</w:t>
      </w:r>
    </w:p>
    <w:p w14:paraId="04531E11">
      <w:pPr>
        <w:numPr>
          <w:ilvl w:val="0"/>
          <w:numId w:val="3"/>
        </w:numPr>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需求理解分析</w:t>
      </w:r>
    </w:p>
    <w:p w14:paraId="10E900E5">
      <w:pPr>
        <w:pStyle w:val="16"/>
        <w:rPr>
          <w:rFonts w:hint="eastAsia" w:ascii="宋体" w:hAnsi="宋体" w:eastAsia="宋体" w:cs="宋体"/>
          <w:lang w:val="en-US" w:eastAsia="zh-CN"/>
        </w:rPr>
      </w:pP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val="0"/>
          <w:color w:val="auto"/>
          <w:kern w:val="2"/>
          <w:sz w:val="24"/>
          <w:szCs w:val="21"/>
          <w:highlight w:val="none"/>
          <w:rtl w:val="0"/>
          <w:lang w:val="en-US" w:eastAsia="zh-CN" w:bidi="ar-SA"/>
        </w:rPr>
        <w:t>结合本地实际情况，对宿迁市经济技术开发区城市生命线项目（桥梁试点场景）建设的项目概况、需求、现状及重难点问题，要求结构清晰，描述准确、全面、完整，科学合理有针对性。</w:t>
      </w:r>
    </w:p>
    <w:p w14:paraId="5BF82E19">
      <w:pPr>
        <w:numPr>
          <w:ilvl w:val="0"/>
          <w:numId w:val="3"/>
        </w:numPr>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安全保障方案</w:t>
      </w:r>
    </w:p>
    <w:p w14:paraId="1BBB5A3D">
      <w:pPr>
        <w:keepNext w:val="0"/>
        <w:keepLines w:val="0"/>
        <w:pageBreakBefore w:val="0"/>
        <w:widowControl w:val="0"/>
        <w:spacing w:line="360" w:lineRule="auto"/>
        <w:ind w:left="0" w:right="0"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针对本项目实际情况对重点位置，安全隐患，提出安全保障方案及应急方案。</w:t>
      </w:r>
    </w:p>
    <w:p w14:paraId="7D33E742">
      <w:pPr>
        <w:numPr>
          <w:ilvl w:val="0"/>
          <w:numId w:val="3"/>
        </w:numPr>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对桥梁安全风险的技术评定</w:t>
      </w:r>
    </w:p>
    <w:p w14:paraId="2F002780">
      <w:pPr>
        <w:keepNext w:val="0"/>
        <w:keepLines w:val="0"/>
        <w:pageBreakBefore w:val="0"/>
        <w:widowControl w:val="0"/>
        <w:spacing w:line="360" w:lineRule="auto"/>
        <w:ind w:left="0" w:right="0"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结合本地实际情况，对桥梁病害体的认识充分，对提供的试点桥梁特征与安全风险进行分析，要求要点分析清晰，描述准确、全面、完整，科学合理有针对性</w:t>
      </w:r>
    </w:p>
    <w:p w14:paraId="3E4AA179">
      <w:pPr>
        <w:numPr>
          <w:ilvl w:val="0"/>
          <w:numId w:val="3"/>
        </w:numPr>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售后服务</w:t>
      </w:r>
    </w:p>
    <w:p w14:paraId="4285B9C6">
      <w:pPr>
        <w:pStyle w:val="16"/>
        <w:ind w:firstLine="468" w:firstLineChars="195"/>
        <w:rPr>
          <w:rFonts w:hint="eastAsia" w:ascii="宋体" w:hAnsi="宋体" w:eastAsia="宋体" w:cs="宋体"/>
          <w:b w:val="0"/>
          <w:color w:val="auto"/>
          <w:kern w:val="2"/>
          <w:sz w:val="24"/>
          <w:szCs w:val="21"/>
          <w:highlight w:val="none"/>
          <w:lang w:val="en-US" w:eastAsia="zh-CN" w:bidi="ar-SA"/>
        </w:rPr>
      </w:pPr>
      <w:r>
        <w:rPr>
          <w:rFonts w:hint="eastAsia" w:ascii="宋体" w:hAnsi="宋体" w:eastAsia="宋体" w:cs="宋体"/>
          <w:b w:val="0"/>
          <w:color w:val="auto"/>
          <w:kern w:val="2"/>
          <w:sz w:val="24"/>
          <w:szCs w:val="21"/>
          <w:highlight w:val="none"/>
          <w:lang w:val="en-US" w:eastAsia="zh-CN" w:bidi="ar-SA"/>
        </w:rPr>
        <w:t xml:space="preserve"> 2.1投标人提供的售后服务方案服务体系完善、服务内容全面</w:t>
      </w:r>
      <w:r>
        <w:rPr>
          <w:rFonts w:hint="eastAsia" w:ascii="宋体" w:hAnsi="宋体" w:eastAsia="宋体" w:cs="宋体"/>
          <w:b w:val="0"/>
          <w:color w:val="auto"/>
          <w:kern w:val="2"/>
          <w:sz w:val="24"/>
          <w:szCs w:val="21"/>
          <w:highlight w:val="none"/>
          <w:rtl w:val="0"/>
          <w:lang w:val="en-US" w:eastAsia="zh-CN" w:bidi="ar-SA"/>
        </w:rPr>
        <w:t>、</w:t>
      </w:r>
      <w:r>
        <w:rPr>
          <w:rFonts w:hint="eastAsia" w:ascii="宋体" w:hAnsi="宋体" w:eastAsia="宋体" w:cs="宋体"/>
          <w:b w:val="0"/>
          <w:color w:val="auto"/>
          <w:kern w:val="2"/>
          <w:sz w:val="24"/>
          <w:szCs w:val="21"/>
          <w:highlight w:val="none"/>
          <w:lang w:val="en-US" w:eastAsia="zh-CN" w:bidi="ar-SA"/>
        </w:rPr>
        <w:t>故障解决方案可行、针对性强、故障响应时间符合采购要求。</w:t>
      </w:r>
    </w:p>
    <w:p w14:paraId="1C1C4693">
      <w:pPr>
        <w:keepNext w:val="0"/>
        <w:keepLines w:val="0"/>
        <w:pageBreakBefore w:val="0"/>
        <w:widowControl w:val="0"/>
        <w:spacing w:line="360" w:lineRule="auto"/>
        <w:ind w:left="0" w:right="0"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2.2投标人对所售出的产品实行三包：即产品在正常使用情况下发生质量问题时，供方应按使用方的要求，负责对产品实行包修、包换、包退。</w:t>
      </w:r>
    </w:p>
    <w:p w14:paraId="522650A5">
      <w:pPr>
        <w:keepNext w:val="0"/>
        <w:keepLines w:val="0"/>
        <w:pageBreakBefore w:val="0"/>
        <w:widowControl w:val="0"/>
        <w:spacing w:line="360" w:lineRule="auto"/>
        <w:ind w:left="0" w:right="0"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2.3售后服务期：2年（自验合格之日起计算）。</w:t>
      </w:r>
    </w:p>
    <w:p w14:paraId="5EF6062E">
      <w:pPr>
        <w:keepNext w:val="0"/>
        <w:keepLines w:val="0"/>
        <w:pageBreakBefore w:val="0"/>
        <w:widowControl w:val="0"/>
        <w:spacing w:line="360" w:lineRule="auto"/>
        <w:ind w:left="0" w:right="0"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 售后服务期内所有设施设备的更换、维修均为免费，网络使用费用以及相关配件的维修、保养费用由中标人免费提供，所有服务产生的费用均不再收取；服务期满后，中标人提供终生服务，保证零配件的供给，按投标文件承诺的折扣予以保障。</w:t>
      </w:r>
    </w:p>
    <w:p w14:paraId="11787049">
      <w:pPr>
        <w:keepNext w:val="0"/>
        <w:keepLines w:val="0"/>
        <w:pageBreakBefore w:val="0"/>
        <w:widowControl w:val="0"/>
        <w:spacing w:line="360" w:lineRule="auto"/>
        <w:ind w:left="0" w:right="0"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服务响应：投标人需提供售后技术支持服务，运行中出现故障时，由采购人通知中标人。疑难问题（不危及运行）在24小时内答复用户。重大问题（危及运行）在2小时内到现场处理或通过网络远程处理。特大问题（系统不能正常运行）在2小时内恢复系统运行，并在24小时内派技术人员到现场解决。现场予以排除故障、修复或更换零部件，或启用替代品。如需更换设备或送修，必须在2个工作日内解决。采购人不承担所产生的任何费用。</w:t>
      </w:r>
    </w:p>
    <w:p w14:paraId="4FC69BC2">
      <w:pPr>
        <w:pStyle w:val="15"/>
        <w:keepNext w:val="0"/>
        <w:keepLines w:val="0"/>
        <w:pageBreakBefore w:val="0"/>
        <w:widowControl/>
        <w:spacing w:line="360" w:lineRule="auto"/>
        <w:jc w:val="left"/>
        <w:rPr>
          <w:rStyle w:val="9"/>
          <w:rFonts w:hint="eastAsia" w:ascii="宋体" w:hAnsi="宋体" w:eastAsia="宋体" w:cs="宋体"/>
          <w:b/>
          <w:bCs/>
          <w:color w:val="auto"/>
          <w:sz w:val="28"/>
          <w:szCs w:val="28"/>
          <w:highlight w:val="none"/>
          <w:lang w:val="en-US" w:eastAsia="zh-CN" w:bidi="ar-SA"/>
        </w:rPr>
      </w:pPr>
      <w:r>
        <w:rPr>
          <w:rStyle w:val="9"/>
          <w:rFonts w:hint="eastAsia" w:ascii="宋体" w:hAnsi="宋体" w:cs="宋体"/>
          <w:b/>
          <w:bCs/>
          <w:color w:val="auto"/>
          <w:sz w:val="28"/>
          <w:szCs w:val="28"/>
          <w:highlight w:val="none"/>
          <w:lang w:val="en-US" w:eastAsia="zh-CN" w:bidi="ar-SA"/>
        </w:rPr>
        <w:t>八</w:t>
      </w:r>
      <w:r>
        <w:rPr>
          <w:rStyle w:val="9"/>
          <w:rFonts w:hint="eastAsia" w:ascii="宋体" w:hAnsi="宋体" w:eastAsia="宋体" w:cs="宋体"/>
          <w:b/>
          <w:bCs/>
          <w:color w:val="auto"/>
          <w:sz w:val="28"/>
          <w:szCs w:val="28"/>
          <w:highlight w:val="none"/>
          <w:lang w:val="en-US" w:eastAsia="zh-CN" w:bidi="ar-SA"/>
        </w:rPr>
        <w:t>、采购标的需实现的功能或者目标，以及为落实政府采购政策需满足的要求</w:t>
      </w:r>
    </w:p>
    <w:p w14:paraId="3118E190">
      <w:pPr>
        <w:pStyle w:val="15"/>
        <w:keepNext w:val="0"/>
        <w:keepLines w:val="0"/>
        <w:pageBreakBefore w:val="0"/>
        <w:spacing w:line="360" w:lineRule="auto"/>
        <w:ind w:firstLine="480"/>
        <w:rPr>
          <w:rStyle w:val="9"/>
          <w:rFonts w:hint="eastAsia" w:ascii="宋体" w:hAnsi="宋体" w:eastAsia="宋体" w:cs="宋体"/>
          <w:color w:val="auto"/>
          <w:sz w:val="24"/>
          <w:szCs w:val="24"/>
          <w:highlight w:val="none"/>
          <w:lang w:val="en-US" w:eastAsia="zh-CN" w:bidi="ar-SA"/>
        </w:rPr>
      </w:pPr>
      <w:r>
        <w:rPr>
          <w:rStyle w:val="9"/>
          <w:rFonts w:hint="eastAsia" w:ascii="宋体" w:hAnsi="宋体" w:eastAsia="宋体" w:cs="宋体"/>
          <w:color w:val="auto"/>
          <w:sz w:val="24"/>
          <w:szCs w:val="24"/>
          <w:highlight w:val="none"/>
          <w:lang w:val="en-US" w:eastAsia="zh-CN" w:bidi="ar-SA"/>
        </w:rPr>
        <w:t>1.1采购本国货物、工程和服务</w:t>
      </w:r>
    </w:p>
    <w:p w14:paraId="3E45FFDC">
      <w:pPr>
        <w:pStyle w:val="15"/>
        <w:keepNext w:val="0"/>
        <w:keepLines w:val="0"/>
        <w:pageBreakBefore w:val="0"/>
        <w:spacing w:line="360" w:lineRule="auto"/>
        <w:ind w:firstLine="480"/>
        <w:rPr>
          <w:rStyle w:val="9"/>
          <w:rFonts w:hint="eastAsia" w:ascii="宋体" w:hAnsi="宋体" w:eastAsia="宋体" w:cs="宋体"/>
          <w:color w:val="auto"/>
          <w:sz w:val="24"/>
          <w:szCs w:val="24"/>
          <w:highlight w:val="none"/>
          <w:lang w:val="en-US" w:eastAsia="zh-CN" w:bidi="ar-SA"/>
        </w:rPr>
      </w:pPr>
      <w:r>
        <w:rPr>
          <w:rStyle w:val="9"/>
          <w:rFonts w:hint="eastAsia" w:ascii="宋体" w:hAnsi="宋体" w:eastAsia="宋体" w:cs="宋体"/>
          <w:color w:val="auto"/>
          <w:sz w:val="24"/>
          <w:szCs w:val="24"/>
          <w:highlight w:val="none"/>
          <w:lang w:val="en-US" w:eastAsia="zh-CN" w:bidi="ar-SA"/>
        </w:rPr>
        <w:t>1.1.1政府采购应当采购本国货物、工程和服务，但有《中华人民共和国政府采购法》第十条规定情形的除外。</w:t>
      </w:r>
    </w:p>
    <w:p w14:paraId="75194028">
      <w:pPr>
        <w:pStyle w:val="15"/>
        <w:keepNext w:val="0"/>
        <w:keepLines w:val="0"/>
        <w:pageBreakBefore w:val="0"/>
        <w:spacing w:line="360" w:lineRule="auto"/>
        <w:ind w:firstLine="480"/>
        <w:rPr>
          <w:rStyle w:val="9"/>
          <w:rFonts w:hint="eastAsia" w:ascii="宋体" w:hAnsi="宋体" w:eastAsia="宋体" w:cs="宋体"/>
          <w:color w:val="auto"/>
          <w:sz w:val="24"/>
          <w:szCs w:val="24"/>
          <w:highlight w:val="none"/>
          <w:lang w:val="en-US" w:eastAsia="zh-CN" w:bidi="ar-SA"/>
        </w:rPr>
      </w:pPr>
      <w:r>
        <w:rPr>
          <w:rStyle w:val="9"/>
          <w:rFonts w:hint="eastAsia" w:ascii="宋体" w:hAnsi="宋体" w:eastAsia="宋体" w:cs="宋体"/>
          <w:color w:val="auto"/>
          <w:sz w:val="24"/>
          <w:szCs w:val="24"/>
          <w:highlight w:val="none"/>
          <w:lang w:val="en-US" w:eastAsia="zh-CN" w:bidi="ar-SA"/>
        </w:rPr>
        <w:t>1.1.2如采购进口产品的，应当符合《政府采购进口产品管理办法》</w:t>
      </w:r>
      <w:r>
        <w:rPr>
          <w:rStyle w:val="9"/>
          <w:rFonts w:hint="eastAsia" w:ascii="宋体" w:hAnsi="宋体" w:cs="宋体"/>
          <w:color w:val="auto"/>
          <w:sz w:val="24"/>
          <w:szCs w:val="24"/>
          <w:highlight w:val="none"/>
          <w:lang w:val="en-US" w:eastAsia="zh-CN" w:bidi="ar-SA"/>
        </w:rPr>
        <w:t>（</w:t>
      </w:r>
      <w:r>
        <w:rPr>
          <w:rStyle w:val="9"/>
          <w:rFonts w:hint="eastAsia" w:ascii="宋体" w:hAnsi="宋体" w:eastAsia="宋体" w:cs="宋体"/>
          <w:color w:val="auto"/>
          <w:sz w:val="24"/>
          <w:szCs w:val="24"/>
          <w:highlight w:val="none"/>
          <w:lang w:val="en-US" w:eastAsia="zh-CN" w:bidi="ar-SA"/>
        </w:rPr>
        <w:t>财库</w:t>
      </w:r>
      <w:r>
        <w:rPr>
          <w:rStyle w:val="9"/>
          <w:rFonts w:hint="eastAsia" w:ascii="宋体" w:hAnsi="宋体" w:cs="宋体"/>
          <w:color w:val="auto"/>
          <w:sz w:val="24"/>
          <w:szCs w:val="24"/>
          <w:highlight w:val="none"/>
          <w:lang w:val="en-US" w:eastAsia="zh-CN" w:bidi="ar-SA"/>
        </w:rPr>
        <w:t>〔2007〕119号</w:t>
      </w:r>
      <w:r>
        <w:rPr>
          <w:rStyle w:val="9"/>
          <w:rFonts w:hint="eastAsia" w:ascii="宋体" w:hAnsi="宋体" w:eastAsia="宋体" w:cs="宋体"/>
          <w:color w:val="auto"/>
          <w:sz w:val="24"/>
          <w:szCs w:val="24"/>
          <w:highlight w:val="none"/>
          <w:lang w:val="en-US" w:eastAsia="zh-CN" w:bidi="ar-SA"/>
        </w:rPr>
        <w:t>文</w:t>
      </w:r>
      <w:r>
        <w:rPr>
          <w:rStyle w:val="9"/>
          <w:rFonts w:hint="eastAsia" w:ascii="宋体" w:hAnsi="宋体" w:cs="宋体"/>
          <w:color w:val="auto"/>
          <w:sz w:val="24"/>
          <w:szCs w:val="24"/>
          <w:highlight w:val="none"/>
          <w:lang w:val="en-US" w:eastAsia="zh-CN" w:bidi="ar-SA"/>
        </w:rPr>
        <w:t>）</w:t>
      </w:r>
      <w:r>
        <w:rPr>
          <w:rStyle w:val="9"/>
          <w:rFonts w:hint="eastAsia" w:ascii="宋体" w:hAnsi="宋体" w:eastAsia="宋体" w:cs="宋体"/>
          <w:color w:val="auto"/>
          <w:sz w:val="24"/>
          <w:szCs w:val="24"/>
          <w:highlight w:val="none"/>
          <w:lang w:val="en-US" w:eastAsia="zh-CN" w:bidi="ar-SA"/>
        </w:rPr>
        <w:t>、《关于政府采购进口产品管理有关问题的通知》</w:t>
      </w:r>
      <w:r>
        <w:rPr>
          <w:rStyle w:val="9"/>
          <w:rFonts w:hint="eastAsia" w:ascii="宋体" w:hAnsi="宋体" w:cs="宋体"/>
          <w:color w:val="auto"/>
          <w:sz w:val="24"/>
          <w:szCs w:val="24"/>
          <w:highlight w:val="none"/>
          <w:lang w:val="en-US" w:eastAsia="zh-CN" w:bidi="ar-SA"/>
        </w:rPr>
        <w:t>（</w:t>
      </w:r>
      <w:r>
        <w:rPr>
          <w:rStyle w:val="9"/>
          <w:rFonts w:hint="eastAsia" w:ascii="宋体" w:hAnsi="宋体" w:eastAsia="宋体" w:cs="宋体"/>
          <w:color w:val="auto"/>
          <w:sz w:val="24"/>
          <w:szCs w:val="24"/>
          <w:highlight w:val="none"/>
          <w:lang w:val="en-US" w:eastAsia="zh-CN" w:bidi="ar-SA"/>
        </w:rPr>
        <w:t>财办库</w:t>
      </w:r>
      <w:r>
        <w:rPr>
          <w:rStyle w:val="9"/>
          <w:rFonts w:hint="eastAsia" w:ascii="宋体" w:hAnsi="宋体" w:cs="宋体"/>
          <w:color w:val="auto"/>
          <w:sz w:val="24"/>
          <w:szCs w:val="24"/>
          <w:highlight w:val="none"/>
          <w:lang w:val="en-US" w:eastAsia="zh-CN" w:bidi="ar-SA"/>
        </w:rPr>
        <w:t>〔2008〕248号</w:t>
      </w:r>
      <w:r>
        <w:rPr>
          <w:rStyle w:val="9"/>
          <w:rFonts w:hint="eastAsia" w:ascii="宋体" w:hAnsi="宋体" w:eastAsia="宋体" w:cs="宋体"/>
          <w:color w:val="auto"/>
          <w:sz w:val="24"/>
          <w:szCs w:val="24"/>
          <w:highlight w:val="none"/>
          <w:lang w:val="en-US" w:eastAsia="zh-CN" w:bidi="ar-SA"/>
        </w:rPr>
        <w:t>文</w:t>
      </w:r>
      <w:r>
        <w:rPr>
          <w:rStyle w:val="9"/>
          <w:rFonts w:hint="eastAsia" w:ascii="宋体" w:hAnsi="宋体" w:cs="宋体"/>
          <w:color w:val="auto"/>
          <w:sz w:val="24"/>
          <w:szCs w:val="24"/>
          <w:highlight w:val="none"/>
          <w:lang w:val="en-US" w:eastAsia="zh-CN" w:bidi="ar-SA"/>
        </w:rPr>
        <w:t>）</w:t>
      </w:r>
      <w:r>
        <w:rPr>
          <w:rStyle w:val="9"/>
          <w:rFonts w:hint="eastAsia" w:ascii="宋体" w:hAnsi="宋体" w:eastAsia="宋体" w:cs="宋体"/>
          <w:color w:val="auto"/>
          <w:sz w:val="24"/>
          <w:szCs w:val="24"/>
          <w:highlight w:val="none"/>
          <w:lang w:val="en-US" w:eastAsia="zh-CN" w:bidi="ar-SA"/>
        </w:rPr>
        <w:t>等相关规定。本项目是否采购进口产品，以须知前附表确定的为准。</w:t>
      </w:r>
    </w:p>
    <w:p w14:paraId="6445DE51">
      <w:pPr>
        <w:pStyle w:val="15"/>
        <w:keepNext w:val="0"/>
        <w:keepLines w:val="0"/>
        <w:pageBreakBefore w:val="0"/>
        <w:spacing w:line="360" w:lineRule="auto"/>
        <w:ind w:firstLine="480"/>
        <w:rPr>
          <w:rStyle w:val="9"/>
          <w:rFonts w:hint="eastAsia" w:ascii="宋体" w:hAnsi="宋体" w:eastAsia="宋体" w:cs="宋体"/>
          <w:color w:val="auto"/>
          <w:sz w:val="24"/>
          <w:szCs w:val="24"/>
          <w:highlight w:val="none"/>
          <w:lang w:val="en-US" w:eastAsia="zh-CN" w:bidi="ar-SA"/>
        </w:rPr>
      </w:pPr>
      <w:r>
        <w:rPr>
          <w:rStyle w:val="9"/>
          <w:rFonts w:hint="eastAsia" w:ascii="宋体" w:hAnsi="宋体" w:eastAsia="宋体" w:cs="宋体"/>
          <w:color w:val="auto"/>
          <w:sz w:val="24"/>
          <w:szCs w:val="24"/>
          <w:highlight w:val="none"/>
          <w:lang w:val="en-US" w:eastAsia="zh-CN" w:bidi="ar-SA"/>
        </w:rPr>
        <w:t>1.3政府采购需求标准</w:t>
      </w:r>
    </w:p>
    <w:p w14:paraId="4F1E9257">
      <w:pPr>
        <w:pStyle w:val="15"/>
        <w:keepNext w:val="0"/>
        <w:keepLines w:val="0"/>
        <w:pageBreakBefore w:val="0"/>
        <w:spacing w:line="360" w:lineRule="auto"/>
        <w:ind w:firstLine="480"/>
        <w:rPr>
          <w:rStyle w:val="9"/>
          <w:rFonts w:hint="eastAsia" w:ascii="宋体" w:hAnsi="宋体" w:eastAsia="宋体" w:cs="宋体"/>
          <w:color w:val="auto"/>
          <w:sz w:val="24"/>
          <w:szCs w:val="24"/>
          <w:highlight w:val="none"/>
          <w:lang w:val="en-US" w:eastAsia="zh-CN" w:bidi="ar-SA"/>
        </w:rPr>
      </w:pPr>
      <w:r>
        <w:rPr>
          <w:rStyle w:val="9"/>
          <w:rFonts w:hint="eastAsia" w:ascii="宋体" w:hAnsi="宋体" w:eastAsia="宋体" w:cs="宋体"/>
          <w:color w:val="auto"/>
          <w:sz w:val="24"/>
          <w:szCs w:val="24"/>
          <w:highlight w:val="none"/>
          <w:lang w:val="en-US" w:eastAsia="zh-CN" w:bidi="ar-SA"/>
        </w:rPr>
        <w:t>1.3.1商品包装、快递包装政府采购需求标准（试行）。</w:t>
      </w:r>
    </w:p>
    <w:p w14:paraId="5F64096B">
      <w:pPr>
        <w:pStyle w:val="15"/>
        <w:keepNext w:val="0"/>
        <w:keepLines w:val="0"/>
        <w:pageBreakBefore w:val="0"/>
        <w:spacing w:line="360" w:lineRule="auto"/>
        <w:ind w:firstLine="480"/>
        <w:rPr>
          <w:rStyle w:val="9"/>
          <w:rFonts w:hint="eastAsia" w:ascii="宋体" w:hAnsi="宋体" w:eastAsia="宋体" w:cs="宋体"/>
          <w:color w:val="auto"/>
          <w:sz w:val="24"/>
          <w:szCs w:val="24"/>
          <w:highlight w:val="none"/>
          <w:lang w:val="en-US" w:eastAsia="zh-CN" w:bidi="ar-SA"/>
        </w:rPr>
      </w:pPr>
      <w:r>
        <w:rPr>
          <w:rStyle w:val="9"/>
          <w:rFonts w:hint="eastAsia" w:ascii="宋体" w:hAnsi="宋体" w:eastAsia="宋体" w:cs="宋体"/>
          <w:color w:val="auto"/>
          <w:sz w:val="24"/>
          <w:szCs w:val="24"/>
          <w:highlight w:val="none"/>
          <w:lang w:val="en-US" w:eastAsia="zh-CN" w:bidi="ar-SA"/>
        </w:rPr>
        <w:t>1.4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供应商应当提供符合需求标准的产品及相关快递服务的包装，供应商一旦参与本项目投标，即完全响应本条款要求。</w:t>
      </w:r>
    </w:p>
    <w:p w14:paraId="405EDDC1">
      <w:pPr>
        <w:pStyle w:val="15"/>
        <w:keepNext w:val="0"/>
        <w:keepLines w:val="0"/>
        <w:pageBreakBefore w:val="0"/>
        <w:spacing w:line="360" w:lineRule="auto"/>
        <w:ind w:firstLine="480"/>
        <w:rPr>
          <w:rStyle w:val="9"/>
          <w:rFonts w:hint="eastAsia" w:ascii="宋体" w:hAnsi="宋体" w:eastAsia="宋体" w:cs="宋体"/>
          <w:color w:val="auto"/>
          <w:sz w:val="24"/>
          <w:szCs w:val="24"/>
          <w:highlight w:val="none"/>
          <w:lang w:val="en-US" w:eastAsia="zh-CN" w:bidi="ar-SA"/>
        </w:rPr>
      </w:pPr>
      <w:r>
        <w:rPr>
          <w:rStyle w:val="9"/>
          <w:rFonts w:hint="eastAsia" w:ascii="宋体" w:hAnsi="宋体" w:eastAsia="宋体" w:cs="宋体"/>
          <w:color w:val="auto"/>
          <w:sz w:val="24"/>
          <w:szCs w:val="24"/>
          <w:highlight w:val="none"/>
          <w:lang w:val="en-US" w:eastAsia="zh-CN" w:bidi="ar-SA"/>
        </w:rPr>
        <w:t>1.5绿色数据中心政府采购需求标准（试行）。</w:t>
      </w:r>
    </w:p>
    <w:p w14:paraId="081D0AF1">
      <w:pPr>
        <w:pStyle w:val="15"/>
        <w:keepNext w:val="0"/>
        <w:keepLines w:val="0"/>
        <w:pageBreakBefore w:val="0"/>
        <w:spacing w:line="360" w:lineRule="auto"/>
        <w:ind w:firstLine="480"/>
        <w:rPr>
          <w:rStyle w:val="9"/>
          <w:rFonts w:hint="eastAsia" w:ascii="宋体" w:hAnsi="宋体" w:eastAsia="宋体" w:cs="宋体"/>
          <w:color w:val="auto"/>
          <w:sz w:val="24"/>
          <w:szCs w:val="24"/>
          <w:highlight w:val="none"/>
          <w:lang w:val="en-US" w:eastAsia="zh-CN" w:bidi="ar-SA"/>
        </w:rPr>
      </w:pPr>
      <w:r>
        <w:rPr>
          <w:rStyle w:val="9"/>
          <w:rFonts w:hint="eastAsia" w:ascii="宋体" w:hAnsi="宋体" w:eastAsia="宋体" w:cs="宋体"/>
          <w:color w:val="auto"/>
          <w:sz w:val="24"/>
          <w:szCs w:val="24"/>
          <w:highlight w:val="none"/>
          <w:lang w:val="en-US" w:eastAsia="zh-CN" w:bidi="ar-SA"/>
        </w:rPr>
        <w:t>1.5.1为加快数据中心绿色转型，根据财政部生态环境部工业和信息化部关于印发《绿色数据中心政府采购需求标准（试行）》的通知），本项目如涉及绿色数据中心，供应商应当提供符合需求标准的产品。</w:t>
      </w:r>
    </w:p>
    <w:p w14:paraId="7F12FA8E">
      <w:pPr>
        <w:pStyle w:val="15"/>
        <w:keepNext w:val="0"/>
        <w:keepLines w:val="0"/>
        <w:pageBreakBefore w:val="0"/>
        <w:spacing w:line="360" w:lineRule="auto"/>
        <w:ind w:firstLine="480"/>
        <w:rPr>
          <w:rStyle w:val="9"/>
          <w:rFonts w:hint="eastAsia" w:ascii="宋体" w:hAnsi="宋体" w:eastAsia="宋体" w:cs="宋体"/>
          <w:color w:val="auto"/>
          <w:sz w:val="24"/>
          <w:szCs w:val="24"/>
          <w:highlight w:val="none"/>
          <w:lang w:val="en-US" w:eastAsia="zh-CN" w:bidi="ar-SA"/>
        </w:rPr>
      </w:pPr>
      <w:r>
        <w:rPr>
          <w:rStyle w:val="9"/>
          <w:rFonts w:hint="eastAsia" w:ascii="宋体" w:hAnsi="宋体" w:eastAsia="宋体" w:cs="宋体"/>
          <w:color w:val="auto"/>
          <w:sz w:val="24"/>
          <w:szCs w:val="24"/>
          <w:highlight w:val="none"/>
          <w:lang w:val="en-US" w:eastAsia="zh-CN" w:bidi="ar-SA"/>
        </w:rPr>
        <w:t>1.6本项目中涉及涂料、胶黏剂、油墨、清洗剂等挥发性有机物产品的，属于强制性标准的，供应商应当提供符合国家和江苏省相关VOCS含量限制标准的产品。</w:t>
      </w:r>
    </w:p>
    <w:p w14:paraId="7169065B">
      <w:pPr>
        <w:pStyle w:val="12"/>
        <w:keepNext w:val="0"/>
        <w:keepLines w:val="0"/>
        <w:pageBreakBefore w:val="0"/>
        <w:spacing w:line="360" w:lineRule="auto"/>
        <w:rPr>
          <w:rStyle w:val="9"/>
          <w:rFonts w:hint="eastAsia" w:ascii="宋体" w:hAnsi="宋体" w:eastAsia="宋体" w:cs="宋体"/>
          <w:color w:val="auto"/>
          <w:sz w:val="24"/>
          <w:szCs w:val="24"/>
          <w:highlight w:val="none"/>
          <w:lang w:val="en-US" w:eastAsia="zh-CN" w:bidi="ar-SA"/>
        </w:rPr>
      </w:pPr>
      <w:r>
        <w:rPr>
          <w:rStyle w:val="9"/>
          <w:rFonts w:hint="eastAsia" w:ascii="宋体" w:hAnsi="宋体" w:eastAsia="宋体" w:cs="宋体"/>
          <w:color w:val="auto"/>
          <w:sz w:val="24"/>
          <w:szCs w:val="24"/>
          <w:highlight w:val="none"/>
          <w:lang w:val="en-US" w:eastAsia="zh-CN" w:bidi="ar-SA"/>
        </w:rPr>
        <w:t>1.7对照财库〔2019〕9 号、财库〔2019〕19 号文件规定，供应商所投产品属于强制采购产品的，应提供国家市场监督管理总局确定的列入“参与实施政府采购节能产品认证机构名录”内的认证机构出具的、有效期内的该产品的节能产品认证证书电子件，不满足以上要求的按无效标处理。</w:t>
      </w:r>
    </w:p>
    <w:p w14:paraId="728E579F">
      <w:pPr>
        <w:pStyle w:val="15"/>
        <w:keepNext w:val="0"/>
        <w:keepLines w:val="0"/>
        <w:pageBreakBefore w:val="0"/>
        <w:spacing w:line="360" w:lineRule="auto"/>
        <w:ind w:firstLine="480"/>
        <w:rPr>
          <w:rFonts w:hint="eastAsia" w:ascii="宋体" w:hAnsi="宋体" w:eastAsia="宋体" w:cs="宋体"/>
          <w:bCs/>
          <w:caps w:val="0"/>
          <w:color w:val="auto"/>
          <w:sz w:val="44"/>
        </w:rPr>
      </w:pPr>
      <w:r>
        <w:rPr>
          <w:rStyle w:val="9"/>
          <w:rFonts w:hint="eastAsia" w:ascii="宋体" w:hAnsi="宋体" w:eastAsia="宋体" w:cs="宋体"/>
          <w:color w:val="auto"/>
          <w:sz w:val="24"/>
          <w:szCs w:val="24"/>
          <w:highlight w:val="none"/>
          <w:lang w:val="en-US" w:eastAsia="zh-CN" w:bidi="ar-SA"/>
        </w:rPr>
        <w:t>1.8大型企业参与投标的，向中小企业分包，分包具体内容、金额或比例达到合同金额的40%（提供分包意向协议）。</w:t>
      </w:r>
    </w:p>
    <w:p w14:paraId="2A583BAB">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78A7B"/>
    <w:multiLevelType w:val="singleLevel"/>
    <w:tmpl w:val="A0878A7B"/>
    <w:lvl w:ilvl="0" w:tentative="0">
      <w:start w:val="1"/>
      <w:numFmt w:val="chineseCounting"/>
      <w:suff w:val="nothing"/>
      <w:lvlText w:val="%1、"/>
      <w:lvlJc w:val="left"/>
      <w:rPr>
        <w:rFonts w:hint="eastAsia"/>
      </w:rPr>
    </w:lvl>
  </w:abstractNum>
  <w:abstractNum w:abstractNumId="1">
    <w:nsid w:val="E779EEC6"/>
    <w:multiLevelType w:val="singleLevel"/>
    <w:tmpl w:val="E779EEC6"/>
    <w:lvl w:ilvl="0" w:tentative="0">
      <w:start w:val="1"/>
      <w:numFmt w:val="decimal"/>
      <w:lvlText w:val="%1."/>
      <w:lvlJc w:val="left"/>
      <w:pPr>
        <w:tabs>
          <w:tab w:val="left" w:pos="312"/>
        </w:tabs>
      </w:pPr>
    </w:lvl>
  </w:abstractNum>
  <w:abstractNum w:abstractNumId="2">
    <w:nsid w:val="54CA7E39"/>
    <w:multiLevelType w:val="singleLevel"/>
    <w:tmpl w:val="54CA7E39"/>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YTk5Mzg3NTljZGQ3MGMxNDZiN2Y4NTYwMjk0MTMifQ=="/>
  </w:docVars>
  <w:rsids>
    <w:rsidRoot w:val="60F55F41"/>
    <w:rsid w:val="60F55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jc w:val="center"/>
      <w:outlineLvl w:val="0"/>
    </w:pPr>
    <w:rPr>
      <w:rFonts w:ascii="楷体_GB2312" w:eastAsia="楷体_GB2312"/>
      <w:sz w:val="28"/>
      <w:szCs w:val="28"/>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uiPriority w:val="0"/>
    <w:rPr>
      <w:rFonts w:ascii="宋体" w:hAnsi="Courier New" w:cs="Courier New"/>
    </w:rPr>
  </w:style>
  <w:style w:type="table" w:styleId="5">
    <w:name w:val="Table Grid"/>
    <w:basedOn w:val="4"/>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_3"/>
    <w:next w:val="8"/>
    <w:qFormat/>
    <w:uiPriority w:val="0"/>
    <w:pPr>
      <w:widowControl w:val="0"/>
      <w:jc w:val="both"/>
    </w:pPr>
    <w:rPr>
      <w:rFonts w:hint="default" w:ascii="Calibri" w:hAnsi="Calibri" w:eastAsia="宋体" w:cs="Times New Roman"/>
      <w:sz w:val="20"/>
      <w:szCs w:val="24"/>
    </w:rPr>
  </w:style>
  <w:style w:type="paragraph" w:customStyle="1" w:styleId="8">
    <w:name w:val="Normal_19"/>
    <w:qFormat/>
    <w:uiPriority w:val="0"/>
    <w:pPr>
      <w:widowControl w:val="0"/>
      <w:jc w:val="both"/>
    </w:pPr>
    <w:rPr>
      <w:rFonts w:hint="default" w:ascii="Calibri" w:hAnsi="Calibri" w:eastAsia="宋体" w:cs="Times New Roman"/>
    </w:rPr>
  </w:style>
  <w:style w:type="character" w:customStyle="1" w:styleId="9">
    <w:name w:val="默认段落字体1"/>
    <w:unhideWhenUsed/>
    <w:qFormat/>
    <w:uiPriority w:val="1"/>
    <w:rPr>
      <w:rFonts w:ascii="Times New Roman" w:hAnsi="Times New Roman"/>
      <w:kern w:val="2"/>
      <w:sz w:val="21"/>
      <w:szCs w:val="21"/>
      <w:lang w:val="en-US" w:eastAsia="zh-CN" w:bidi="ar-SA"/>
    </w:rPr>
  </w:style>
  <w:style w:type="paragraph" w:customStyle="1" w:styleId="10">
    <w:name w:val="正文_2_1"/>
    <w:basedOn w:val="8"/>
    <w:qFormat/>
    <w:uiPriority w:val="0"/>
    <w:rPr>
      <w:rFonts w:eastAsia="Times New Roman"/>
      <w:sz w:val="20"/>
      <w:szCs w:val="20"/>
    </w:rPr>
  </w:style>
  <w:style w:type="paragraph" w:customStyle="1" w:styleId="11">
    <w:name w:val="标题 41"/>
    <w:basedOn w:val="1"/>
    <w:next w:val="12"/>
    <w:qFormat/>
    <w:uiPriority w:val="0"/>
    <w:pPr>
      <w:keepNext/>
      <w:keepLines/>
      <w:spacing w:before="280" w:after="290" w:line="376" w:lineRule="auto"/>
      <w:outlineLvl w:val="3"/>
    </w:pPr>
    <w:rPr>
      <w:rFonts w:ascii="Arial" w:hAnsi="Arial" w:eastAsia="黑体" w:cs="Arial"/>
      <w:b/>
      <w:bCs/>
      <w:sz w:val="28"/>
      <w:szCs w:val="28"/>
    </w:rPr>
  </w:style>
  <w:style w:type="paragraph" w:customStyle="1" w:styleId="12">
    <w:name w:val="正文缩进1"/>
    <w:basedOn w:val="1"/>
    <w:next w:val="1"/>
    <w:qFormat/>
    <w:uiPriority w:val="0"/>
    <w:pPr>
      <w:ind w:firstLine="420"/>
    </w:pPr>
  </w:style>
  <w:style w:type="character" w:customStyle="1" w:styleId="13">
    <w:name w:val="font11"/>
    <w:basedOn w:val="6"/>
    <w:qFormat/>
    <w:uiPriority w:val="0"/>
    <w:rPr>
      <w:rFonts w:ascii="Arial" w:hAnsi="Arial" w:cs="Arial"/>
      <w:color w:val="000000"/>
      <w:sz w:val="24"/>
      <w:szCs w:val="24"/>
      <w:u w:val="none"/>
    </w:rPr>
  </w:style>
  <w:style w:type="character" w:customStyle="1" w:styleId="14">
    <w:name w:val="font01"/>
    <w:basedOn w:val="6"/>
    <w:qFormat/>
    <w:uiPriority w:val="0"/>
    <w:rPr>
      <w:rFonts w:hint="eastAsia" w:ascii="宋体" w:hAnsi="宋体" w:eastAsia="宋体" w:cs="宋体"/>
      <w:color w:val="000000"/>
      <w:sz w:val="24"/>
      <w:szCs w:val="24"/>
      <w:u w:val="none"/>
    </w:rPr>
  </w:style>
  <w:style w:type="paragraph" w:customStyle="1" w:styleId="15">
    <w:name w:val="Normal_19_0"/>
    <w:qFormat/>
    <w:uiPriority w:val="0"/>
    <w:pPr>
      <w:widowControl w:val="0"/>
      <w:jc w:val="both"/>
    </w:pPr>
    <w:rPr>
      <w:rFonts w:hint="default" w:ascii="Calibri" w:hAnsi="Calibri" w:eastAsia="宋体" w:cs="Times New Roman"/>
      <w:sz w:val="20"/>
      <w:szCs w:val="20"/>
    </w:rPr>
  </w:style>
  <w:style w:type="paragraph" w:customStyle="1" w:styleId="16">
    <w:name w:val="标题二、"/>
    <w:basedOn w:val="1"/>
    <w:qFormat/>
    <w:uiPriority w:val="99"/>
    <w:pPr>
      <w:spacing w:line="360" w:lineRule="auto"/>
      <w:ind w:firstLine="200"/>
      <w:outlineLvl w:val="2"/>
    </w:pPr>
    <w:rPr>
      <w:rFonts w:ascii="宋体" w:hAnsi="宋体"/>
      <w:b/>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2025-06-05T06:05:00Z</dcterms:created>
  <dc:creator>有何不可</dc:creator>
  <cp:lastModifiedBy>有何不可</cp:lastModifiedBy>
  <dcterms:modified xsi:type="dcterms:W3CDTF">2025-06-05T06:05:25Z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F03B1D06236C419FAF164CD33B0A9DD5_11</vt:lpwstr>
  </property>
</Properties>
</file>